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3589" w14:textId="5CBAF681" w:rsidR="00581D1C" w:rsidRPr="00C93329" w:rsidRDefault="00581D1C" w:rsidP="00C93329">
      <w:pPr>
        <w:rPr>
          <w:rFonts w:ascii="Gellix" w:hAnsi="Gellix"/>
        </w:rPr>
      </w:pPr>
    </w:p>
    <w:p w14:paraId="2C8B59CC" w14:textId="7900C19F" w:rsidR="00C93329" w:rsidRPr="00C93329" w:rsidRDefault="00C93329" w:rsidP="00C93329">
      <w:pPr>
        <w:jc w:val="center"/>
        <w:rPr>
          <w:rFonts w:ascii="Gellix" w:hAnsi="Gellix"/>
          <w:b/>
          <w:bCs/>
          <w:sz w:val="28"/>
          <w:szCs w:val="28"/>
        </w:rPr>
      </w:pPr>
      <w:r w:rsidRPr="00C93329">
        <w:rPr>
          <w:rFonts w:ascii="Gellix" w:hAnsi="Gellix"/>
          <w:b/>
          <w:bCs/>
          <w:sz w:val="28"/>
          <w:szCs w:val="28"/>
        </w:rPr>
        <w:t>PRISES DE POSITION</w:t>
      </w:r>
    </w:p>
    <w:p w14:paraId="41EDBC47" w14:textId="6E6568AE" w:rsidR="00C93329" w:rsidRPr="00C93329" w:rsidRDefault="00C93329" w:rsidP="00C93329">
      <w:pPr>
        <w:jc w:val="center"/>
        <w:rPr>
          <w:rFonts w:ascii="Gellix" w:hAnsi="Gellix"/>
          <w:b/>
          <w:bCs/>
          <w:sz w:val="24"/>
          <w:szCs w:val="24"/>
        </w:rPr>
      </w:pPr>
      <w:r w:rsidRPr="00C93329">
        <w:rPr>
          <w:rFonts w:ascii="Gellix" w:hAnsi="Gellix"/>
          <w:b/>
          <w:bCs/>
          <w:sz w:val="24"/>
          <w:szCs w:val="24"/>
        </w:rPr>
        <w:t>Institut de droit de la santé</w:t>
      </w:r>
    </w:p>
    <w:p w14:paraId="650F0B4A" w14:textId="77777777" w:rsidR="00C93329" w:rsidRPr="00C93329" w:rsidRDefault="00C93329" w:rsidP="00C93329">
      <w:pPr>
        <w:jc w:val="center"/>
        <w:rPr>
          <w:rFonts w:ascii="Gellix" w:hAnsi="Gellix"/>
        </w:rPr>
      </w:pPr>
    </w:p>
    <w:p w14:paraId="4F861F09" w14:textId="77777777" w:rsidR="00C93329" w:rsidRPr="00C93329" w:rsidRDefault="00C93329" w:rsidP="00C93329">
      <w:pPr>
        <w:numPr>
          <w:ilvl w:val="0"/>
          <w:numId w:val="23"/>
        </w:numPr>
        <w:rPr>
          <w:rFonts w:ascii="Gellix" w:hAnsi="Gellix"/>
        </w:rPr>
      </w:pPr>
      <w:r w:rsidRPr="00C93329">
        <w:rPr>
          <w:rFonts w:ascii="Gellix" w:hAnsi="Gellix"/>
        </w:rPr>
        <w:t>Collaboration entre les professions de la santé, les responsables des organismes de la santé et l’industrie (</w:t>
      </w:r>
      <w:hyperlink r:id="rId8" w:history="1">
        <w:r w:rsidRPr="00C93329">
          <w:rPr>
            <w:rStyle w:val="Lienhypertexte"/>
            <w:rFonts w:ascii="Gellix" w:hAnsi="Gellix"/>
          </w:rPr>
          <w:t>ASSM</w:t>
        </w:r>
      </w:hyperlink>
      <w:r w:rsidRPr="00C93329">
        <w:rPr>
          <w:rFonts w:ascii="Gellix" w:hAnsi="Gellix"/>
        </w:rPr>
        <w:t>). </w:t>
      </w:r>
      <w:hyperlink r:id="rId9" w:history="1">
        <w:r w:rsidRPr="00C93329">
          <w:rPr>
            <w:rStyle w:val="Lienhypertexte"/>
            <w:rFonts w:ascii="Gellix" w:hAnsi="Gellix"/>
          </w:rPr>
          <w:t>Prise de position (PDF) </w:t>
        </w:r>
      </w:hyperlink>
      <w:r w:rsidRPr="00C93329">
        <w:rPr>
          <w:rFonts w:ascii="Gellix" w:hAnsi="Gellix"/>
        </w:rPr>
        <w:t>(février 2022)</w:t>
      </w:r>
    </w:p>
    <w:p w14:paraId="6761864A" w14:textId="77777777" w:rsidR="00C93329" w:rsidRPr="00C93329" w:rsidRDefault="00C93329" w:rsidP="00C93329">
      <w:pPr>
        <w:numPr>
          <w:ilvl w:val="0"/>
          <w:numId w:val="23"/>
        </w:numPr>
        <w:rPr>
          <w:rFonts w:ascii="Gellix" w:hAnsi="Gellix"/>
        </w:rPr>
      </w:pPr>
      <w:r w:rsidRPr="00C93329">
        <w:rPr>
          <w:rFonts w:ascii="Gellix" w:hAnsi="Gellix"/>
        </w:rPr>
        <w:t>Coopération internationale 2021-2024. </w:t>
      </w:r>
      <w:hyperlink r:id="rId10" w:history="1">
        <w:r w:rsidRPr="00C93329">
          <w:rPr>
            <w:rStyle w:val="Lienhypertexte"/>
            <w:rFonts w:ascii="Gellix" w:hAnsi="Gellix"/>
          </w:rPr>
          <w:t>Prise de position (PDF)</w:t>
        </w:r>
      </w:hyperlink>
      <w:r w:rsidRPr="00C93329">
        <w:rPr>
          <w:rFonts w:ascii="Gellix" w:hAnsi="Gellix"/>
        </w:rPr>
        <w:t> (juillet 2019)</w:t>
      </w:r>
    </w:p>
    <w:p w14:paraId="2369C5E9" w14:textId="77777777" w:rsidR="00C93329" w:rsidRPr="00C93329" w:rsidRDefault="00C93329" w:rsidP="00C93329">
      <w:pPr>
        <w:numPr>
          <w:ilvl w:val="0"/>
          <w:numId w:val="23"/>
        </w:numPr>
        <w:rPr>
          <w:rFonts w:ascii="Gellix" w:hAnsi="Gellix"/>
        </w:rPr>
      </w:pPr>
      <w:proofErr w:type="spellStart"/>
      <w:r w:rsidRPr="00C93329">
        <w:rPr>
          <w:rFonts w:ascii="Gellix" w:hAnsi="Gellix"/>
        </w:rPr>
        <w:t>Avant projet</w:t>
      </w:r>
      <w:proofErr w:type="spellEnd"/>
      <w:r w:rsidRPr="00C93329">
        <w:rPr>
          <w:rFonts w:ascii="Gellix" w:hAnsi="Gellix"/>
        </w:rPr>
        <w:t xml:space="preserve"> de loi sur les produits du tabac. </w:t>
      </w:r>
      <w:hyperlink r:id="rId11" w:history="1">
        <w:r w:rsidRPr="00C93329">
          <w:rPr>
            <w:rStyle w:val="Lienhypertexte"/>
            <w:rFonts w:ascii="Gellix" w:hAnsi="Gellix"/>
          </w:rPr>
          <w:t>Prise de position (DOC)</w:t>
        </w:r>
      </w:hyperlink>
      <w:r w:rsidRPr="00C93329">
        <w:rPr>
          <w:rFonts w:ascii="Gellix" w:hAnsi="Gellix"/>
        </w:rPr>
        <w:t> (février 2018)</w:t>
      </w:r>
    </w:p>
    <w:p w14:paraId="2BDA4D3E" w14:textId="77777777" w:rsidR="00C93329" w:rsidRPr="00C93329" w:rsidRDefault="00C93329" w:rsidP="00C93329">
      <w:pPr>
        <w:numPr>
          <w:ilvl w:val="0"/>
          <w:numId w:val="23"/>
        </w:numPr>
        <w:rPr>
          <w:rFonts w:ascii="Gellix" w:hAnsi="Gellix"/>
        </w:rPr>
      </w:pPr>
      <w:r w:rsidRPr="00C93329">
        <w:rPr>
          <w:rFonts w:ascii="Gellix" w:hAnsi="Gellix"/>
        </w:rPr>
        <w:t>Modèle de CG Suisse (mars 2017) </w:t>
      </w:r>
      <w:hyperlink r:id="rId12" w:history="1">
        <w:r w:rsidRPr="00C93329">
          <w:rPr>
            <w:rStyle w:val="Lienhypertexte"/>
            <w:rFonts w:ascii="Gellix" w:hAnsi="Gellix"/>
          </w:rPr>
          <w:t xml:space="preserve">«Information et consentement à la réutilisation de données et d’échantillons personnels liés à la santé à des fins de </w:t>
        </w:r>
        <w:proofErr w:type="gramStart"/>
        <w:r w:rsidRPr="00C93329">
          <w:rPr>
            <w:rStyle w:val="Lienhypertexte"/>
            <w:rFonts w:ascii="Gellix" w:hAnsi="Gellix"/>
          </w:rPr>
          <w:t>recherche»</w:t>
        </w:r>
        <w:proofErr w:type="gramEnd"/>
      </w:hyperlink>
    </w:p>
    <w:p w14:paraId="70D215F1" w14:textId="77777777" w:rsidR="00C93329" w:rsidRPr="00C93329" w:rsidRDefault="00C93329" w:rsidP="00C93329">
      <w:pPr>
        <w:numPr>
          <w:ilvl w:val="0"/>
          <w:numId w:val="23"/>
        </w:numPr>
        <w:rPr>
          <w:rFonts w:ascii="Gellix" w:hAnsi="Gellix"/>
        </w:rPr>
      </w:pPr>
      <w:r w:rsidRPr="00C93329">
        <w:rPr>
          <w:rFonts w:ascii="Gellix" w:hAnsi="Gellix"/>
        </w:rPr>
        <w:t>Avant-projet de loi fédérale (mars 2017) sur </w:t>
      </w:r>
      <w:hyperlink r:id="rId13" w:history="1">
        <w:r w:rsidRPr="00C93329">
          <w:rPr>
            <w:rStyle w:val="Lienhypertexte"/>
            <w:rFonts w:ascii="Gellix" w:hAnsi="Gellix"/>
          </w:rPr>
          <w:t>la révision totale de la loi sur la protection des données</w:t>
        </w:r>
      </w:hyperlink>
    </w:p>
    <w:p w14:paraId="46A0B743" w14:textId="77777777" w:rsidR="00C93329" w:rsidRPr="00C93329" w:rsidRDefault="00C93329" w:rsidP="00C93329">
      <w:pPr>
        <w:numPr>
          <w:ilvl w:val="0"/>
          <w:numId w:val="23"/>
        </w:numPr>
        <w:rPr>
          <w:rFonts w:ascii="Gellix" w:hAnsi="Gellix"/>
        </w:rPr>
      </w:pPr>
      <w:r w:rsidRPr="00C93329">
        <w:rPr>
          <w:rFonts w:ascii="Gellix" w:hAnsi="Gellix"/>
        </w:rPr>
        <w:t>Révision totale de la </w:t>
      </w:r>
      <w:hyperlink r:id="rId14" w:history="1">
        <w:r w:rsidRPr="00C93329">
          <w:rPr>
            <w:rStyle w:val="Lienhypertexte"/>
            <w:rFonts w:ascii="Gellix" w:hAnsi="Gellix"/>
          </w:rPr>
          <w:t>loi fédérale sur l’analyse génétique humaine</w:t>
        </w:r>
      </w:hyperlink>
      <w:r w:rsidRPr="00C93329">
        <w:rPr>
          <w:rFonts w:ascii="Gellix" w:hAnsi="Gellix"/>
        </w:rPr>
        <w:t> (LAGH) : </w:t>
      </w:r>
      <w:hyperlink r:id="rId15" w:history="1">
        <w:r w:rsidRPr="00C93329">
          <w:rPr>
            <w:rStyle w:val="Lienhypertexte"/>
            <w:rFonts w:ascii="Gellix" w:hAnsi="Gellix"/>
          </w:rPr>
          <w:t>Prise de position</w:t>
        </w:r>
      </w:hyperlink>
      <w:r w:rsidRPr="00C93329">
        <w:rPr>
          <w:rFonts w:ascii="Gellix" w:hAnsi="Gellix"/>
        </w:rPr>
        <w:t> (mai 2015)</w:t>
      </w:r>
    </w:p>
    <w:p w14:paraId="1EA350CC" w14:textId="77777777" w:rsidR="00C93329" w:rsidRPr="00C93329" w:rsidRDefault="00C93329" w:rsidP="00C93329">
      <w:pPr>
        <w:numPr>
          <w:ilvl w:val="0"/>
          <w:numId w:val="23"/>
        </w:numPr>
        <w:rPr>
          <w:rFonts w:ascii="Gellix" w:hAnsi="Gellix"/>
        </w:rPr>
      </w:pPr>
      <w:hyperlink r:id="rId16" w:history="1">
        <w:r w:rsidRPr="00C93329">
          <w:rPr>
            <w:rStyle w:val="Lienhypertexte"/>
            <w:rFonts w:ascii="Gellix" w:hAnsi="Gellix"/>
          </w:rPr>
          <w:t>Proposition de règlement du Parlement européen et du Conseil relatif aux essais cliniques de médicaments à usage humain</w:t>
        </w:r>
      </w:hyperlink>
      <w:r w:rsidRPr="00C93329">
        <w:rPr>
          <w:rFonts w:ascii="Gellix" w:hAnsi="Gellix"/>
        </w:rPr>
        <w:t>. (</w:t>
      </w:r>
      <w:proofErr w:type="gramStart"/>
      <w:r w:rsidRPr="00C93329">
        <w:rPr>
          <w:rFonts w:ascii="Gellix" w:hAnsi="Gellix"/>
        </w:rPr>
        <w:t>août</w:t>
      </w:r>
      <w:proofErr w:type="gramEnd"/>
      <w:r w:rsidRPr="00C93329">
        <w:rPr>
          <w:rFonts w:ascii="Gellix" w:hAnsi="Gellix"/>
        </w:rPr>
        <w:t xml:space="preserve"> 2013)</w:t>
      </w:r>
    </w:p>
    <w:p w14:paraId="7A5F5236" w14:textId="77777777" w:rsidR="00C93329" w:rsidRPr="00C93329" w:rsidRDefault="00C93329" w:rsidP="00C93329">
      <w:pPr>
        <w:numPr>
          <w:ilvl w:val="0"/>
          <w:numId w:val="23"/>
        </w:numPr>
        <w:rPr>
          <w:rFonts w:ascii="Gellix" w:hAnsi="Gellix"/>
        </w:rPr>
      </w:pPr>
      <w:r w:rsidRPr="00C93329">
        <w:rPr>
          <w:rFonts w:ascii="Gellix" w:hAnsi="Gellix"/>
        </w:rPr>
        <w:t>La révision totale (septembre 2012) de la </w:t>
      </w:r>
      <w:hyperlink r:id="rId17" w:history="1">
        <w:r w:rsidRPr="00C93329">
          <w:rPr>
            <w:rStyle w:val="Lienhypertexte"/>
            <w:rFonts w:ascii="Gellix" w:hAnsi="Gellix"/>
          </w:rPr>
          <w:t>loi sur les épidémies</w:t>
        </w:r>
      </w:hyperlink>
      <w:r w:rsidRPr="00C93329">
        <w:rPr>
          <w:rFonts w:ascii="Gellix" w:hAnsi="Gellix"/>
        </w:rPr>
        <w:t xml:space="preserve">. Voici </w:t>
      </w:r>
      <w:proofErr w:type="gramStart"/>
      <w:r w:rsidRPr="00C93329">
        <w:rPr>
          <w:rFonts w:ascii="Gellix" w:hAnsi="Gellix"/>
        </w:rPr>
        <w:t>sa:</w:t>
      </w:r>
      <w:proofErr w:type="gramEnd"/>
      <w:r w:rsidRPr="00C93329">
        <w:rPr>
          <w:rFonts w:ascii="Gellix" w:hAnsi="Gellix"/>
        </w:rPr>
        <w:t> </w:t>
      </w:r>
      <w:hyperlink r:id="rId18" w:history="1">
        <w:r w:rsidRPr="00C93329">
          <w:rPr>
            <w:rStyle w:val="Lienhypertexte"/>
            <w:rFonts w:ascii="Gellix" w:hAnsi="Gellix"/>
          </w:rPr>
          <w:t>prise de position</w:t>
        </w:r>
      </w:hyperlink>
      <w:r w:rsidRPr="00C93329">
        <w:rPr>
          <w:rFonts w:ascii="Gellix" w:hAnsi="Gellix"/>
        </w:rPr>
        <w:t> (mars 2008)</w:t>
      </w:r>
    </w:p>
    <w:p w14:paraId="35E1D2FC" w14:textId="77777777" w:rsidR="00C93329" w:rsidRPr="00C93329" w:rsidRDefault="00C93329" w:rsidP="00C93329">
      <w:pPr>
        <w:numPr>
          <w:ilvl w:val="0"/>
          <w:numId w:val="23"/>
        </w:numPr>
        <w:rPr>
          <w:rFonts w:ascii="Gellix" w:hAnsi="Gellix"/>
        </w:rPr>
      </w:pPr>
      <w:r w:rsidRPr="00C93329">
        <w:rPr>
          <w:rFonts w:ascii="Gellix" w:hAnsi="Gellix"/>
        </w:rPr>
        <w:t>La </w:t>
      </w:r>
      <w:hyperlink r:id="rId19" w:history="1">
        <w:r w:rsidRPr="00C93329">
          <w:rPr>
            <w:rStyle w:val="Lienhypertexte"/>
            <w:rFonts w:ascii="Gellix" w:hAnsi="Gellix"/>
          </w:rPr>
          <w:t>loi fédérale relative à la recherche sur l’être humain</w:t>
        </w:r>
      </w:hyperlink>
      <w:r w:rsidRPr="00C93329">
        <w:rPr>
          <w:rFonts w:ascii="Gellix" w:hAnsi="Gellix"/>
        </w:rPr>
        <w:t> (septembre 2011). Voici sa </w:t>
      </w:r>
      <w:hyperlink r:id="rId20" w:history="1">
        <w:r w:rsidRPr="00C93329">
          <w:rPr>
            <w:rStyle w:val="Lienhypertexte"/>
            <w:rFonts w:ascii="Gellix" w:hAnsi="Gellix"/>
          </w:rPr>
          <w:t>prise de position</w:t>
        </w:r>
      </w:hyperlink>
      <w:r w:rsidRPr="00C93329">
        <w:rPr>
          <w:rFonts w:ascii="Gellix" w:hAnsi="Gellix"/>
        </w:rPr>
        <w:t> (mai 2006) et la </w:t>
      </w:r>
      <w:hyperlink r:id="rId21" w:history="1">
        <w:r w:rsidRPr="00C93329">
          <w:rPr>
            <w:rStyle w:val="Lienhypertexte"/>
            <w:rFonts w:ascii="Gellix" w:hAnsi="Gellix"/>
          </w:rPr>
          <w:t>version consolidée des propositions de modifications</w:t>
        </w:r>
      </w:hyperlink>
      <w:r w:rsidRPr="00C93329">
        <w:rPr>
          <w:rFonts w:ascii="Gellix" w:hAnsi="Gellix"/>
        </w:rPr>
        <w:t> (mai 2006)</w:t>
      </w:r>
    </w:p>
    <w:p w14:paraId="3367E0A5" w14:textId="77777777" w:rsidR="00C93329" w:rsidRPr="00C93329" w:rsidRDefault="00C93329" w:rsidP="00C93329">
      <w:pPr>
        <w:rPr>
          <w:rFonts w:ascii="Gellix" w:hAnsi="Gellix"/>
        </w:rPr>
      </w:pPr>
      <w:r w:rsidRPr="00C93329">
        <w:rPr>
          <w:rFonts w:ascii="Gellix" w:hAnsi="Gellix"/>
        </w:rPr>
        <w:t>La révision partielle de la </w:t>
      </w:r>
      <w:hyperlink r:id="rId22" w:history="1">
        <w:r w:rsidRPr="00C93329">
          <w:rPr>
            <w:rStyle w:val="Lienhypertexte"/>
            <w:rFonts w:ascii="Gellix" w:hAnsi="Gellix"/>
          </w:rPr>
          <w:t>loi fédérale sur les entraves techniques au commerce</w:t>
        </w:r>
      </w:hyperlink>
      <w:r w:rsidRPr="00C93329">
        <w:rPr>
          <w:rFonts w:ascii="Gellix" w:hAnsi="Gellix"/>
        </w:rPr>
        <w:t> (LETC) (mai 2017). Voici sa </w:t>
      </w:r>
      <w:hyperlink r:id="rId23" w:history="1">
        <w:r w:rsidRPr="00C93329">
          <w:rPr>
            <w:rStyle w:val="Lienhypertexte"/>
            <w:rFonts w:ascii="Gellix" w:hAnsi="Gellix"/>
          </w:rPr>
          <w:t>prise de position</w:t>
        </w:r>
      </w:hyperlink>
    </w:p>
    <w:p w14:paraId="6D821518" w14:textId="77777777" w:rsidR="00C93329" w:rsidRPr="00C93329" w:rsidRDefault="00C93329" w:rsidP="00C93329">
      <w:pPr>
        <w:rPr>
          <w:rFonts w:ascii="Gellix" w:hAnsi="Gellix"/>
        </w:rPr>
      </w:pPr>
    </w:p>
    <w:sectPr w:rsidR="00C93329" w:rsidRPr="00C93329" w:rsidSect="00E51317">
      <w:headerReference w:type="default" r:id="rId24"/>
      <w:footerReference w:type="default" r:id="rId25"/>
      <w:pgSz w:w="11906" w:h="16838"/>
      <w:pgMar w:top="1985" w:right="1417" w:bottom="1417" w:left="141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D9E66" w14:textId="77777777" w:rsidR="00EF6BBD" w:rsidRDefault="00EF6BBD" w:rsidP="00581D1C">
      <w:pPr>
        <w:spacing w:after="0" w:line="240" w:lineRule="auto"/>
      </w:pPr>
      <w:r>
        <w:separator/>
      </w:r>
    </w:p>
  </w:endnote>
  <w:endnote w:type="continuationSeparator" w:id="0">
    <w:p w14:paraId="33C9FDEF" w14:textId="77777777" w:rsidR="00EF6BBD" w:rsidRDefault="00EF6BBD" w:rsidP="00581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llix">
    <w:altName w:val="Calibri"/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5361614"/>
      <w:docPartObj>
        <w:docPartGallery w:val="Page Numbers (Bottom of Page)"/>
        <w:docPartUnique/>
      </w:docPartObj>
    </w:sdtPr>
    <w:sdtContent>
      <w:p w14:paraId="7FD8F354" w14:textId="77777777" w:rsidR="00E51317" w:rsidRDefault="00E51317" w:rsidP="00E51317">
        <w:pPr>
          <w:pStyle w:val="Pieddepage"/>
        </w:pPr>
      </w:p>
      <w:p w14:paraId="44688D0F" w14:textId="77777777" w:rsidR="00E51317" w:rsidRDefault="00E51317" w:rsidP="00E51317">
        <w:pPr>
          <w:pStyle w:val="Pieddepage"/>
        </w:pPr>
      </w:p>
      <w:p w14:paraId="23D0B0BD" w14:textId="2FE95F7B" w:rsidR="00E51317" w:rsidRPr="00E51317" w:rsidRDefault="00E51317" w:rsidP="00E51317">
        <w:pPr>
          <w:pStyle w:val="Pieddepage"/>
          <w:rPr>
            <w:b/>
            <w:bCs/>
            <w:sz w:val="20"/>
            <w:szCs w:val="20"/>
          </w:rPr>
        </w:pPr>
        <w:r w:rsidRPr="00E51317">
          <w:rPr>
            <w:b/>
            <w:bCs/>
            <w:sz w:val="16"/>
            <w:szCs w:val="16"/>
          </w:rPr>
          <w:t xml:space="preserve">Version </w:t>
        </w:r>
        <w:r w:rsidR="00C93329">
          <w:rPr>
            <w:b/>
            <w:bCs/>
            <w:sz w:val="16"/>
            <w:szCs w:val="16"/>
          </w:rPr>
          <w:t>MAJ le 10.06.2026</w:t>
        </w:r>
      </w:p>
      <w:p w14:paraId="4787E5E9" w14:textId="18190EF1" w:rsidR="00E51317" w:rsidRDefault="00E5131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DD8815E" w14:textId="15B6F9DE" w:rsidR="00581D1C" w:rsidRPr="00D31739" w:rsidRDefault="00581D1C" w:rsidP="00D31739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93CF5" w14:textId="77777777" w:rsidR="00EF6BBD" w:rsidRDefault="00EF6BBD" w:rsidP="00581D1C">
      <w:pPr>
        <w:spacing w:after="0" w:line="240" w:lineRule="auto"/>
      </w:pPr>
      <w:r>
        <w:separator/>
      </w:r>
    </w:p>
  </w:footnote>
  <w:footnote w:type="continuationSeparator" w:id="0">
    <w:p w14:paraId="0EC6B91D" w14:textId="77777777" w:rsidR="00EF6BBD" w:rsidRDefault="00EF6BBD" w:rsidP="00581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CDE03" w14:textId="14CDC1E9" w:rsidR="00581D1C" w:rsidRDefault="00581D1C" w:rsidP="00581D1C">
    <w:pPr>
      <w:pStyle w:val="En-tte"/>
      <w:tabs>
        <w:tab w:val="clear" w:pos="4536"/>
      </w:tabs>
    </w:pPr>
    <w:r>
      <w:rPr>
        <w:noProof/>
      </w:rPr>
      <w:drawing>
        <wp:inline distT="0" distB="0" distL="0" distR="0" wp14:anchorId="211B6534" wp14:editId="020B0EF2">
          <wp:extent cx="1296063" cy="660670"/>
          <wp:effectExtent l="0" t="0" r="0" b="0"/>
          <wp:docPr id="930729123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6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301509" cy="663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313E6F19" wp14:editId="129C65DE">
          <wp:extent cx="737294" cy="662029"/>
          <wp:effectExtent l="0" t="0" r="0" b="5080"/>
          <wp:docPr id="977142399" name="Image 9771423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049" cy="667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E2F"/>
    <w:multiLevelType w:val="hybridMultilevel"/>
    <w:tmpl w:val="53E4D7CA"/>
    <w:lvl w:ilvl="0" w:tplc="4998AE3A">
      <w:start w:val="1"/>
      <w:numFmt w:val="bullet"/>
      <w:lvlText w:val=""/>
      <w:lvlJc w:val="left"/>
      <w:pPr>
        <w:ind w:left="1425" w:hanging="360"/>
      </w:pPr>
      <w:rPr>
        <w:rFonts w:ascii="Gellix" w:hAnsi="Gellix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97B72"/>
    <w:multiLevelType w:val="multilevel"/>
    <w:tmpl w:val="1DDE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106B6"/>
    <w:multiLevelType w:val="hybridMultilevel"/>
    <w:tmpl w:val="F2FC42BA"/>
    <w:lvl w:ilvl="0" w:tplc="4998AE3A">
      <w:start w:val="1"/>
      <w:numFmt w:val="bullet"/>
      <w:lvlText w:val=""/>
      <w:lvlJc w:val="left"/>
      <w:pPr>
        <w:ind w:left="1425" w:hanging="360"/>
      </w:pPr>
      <w:rPr>
        <w:rFonts w:ascii="Gellix" w:hAnsi="Gellix" w:hint="default"/>
      </w:rPr>
    </w:lvl>
    <w:lvl w:ilvl="1" w:tplc="10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ADA4092"/>
    <w:multiLevelType w:val="hybridMultilevel"/>
    <w:tmpl w:val="B51A47A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71A6E"/>
    <w:multiLevelType w:val="hybridMultilevel"/>
    <w:tmpl w:val="270C640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A6778"/>
    <w:multiLevelType w:val="hybridMultilevel"/>
    <w:tmpl w:val="E9667B1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20FAD"/>
    <w:multiLevelType w:val="hybridMultilevel"/>
    <w:tmpl w:val="0B64782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E6620"/>
    <w:multiLevelType w:val="hybridMultilevel"/>
    <w:tmpl w:val="949A4A4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CED74E">
      <w:numFmt w:val="bullet"/>
      <w:lvlText w:val="•"/>
      <w:lvlJc w:val="left"/>
      <w:pPr>
        <w:ind w:left="1785" w:hanging="705"/>
      </w:pPr>
      <w:rPr>
        <w:rFonts w:ascii="Gellix" w:eastAsiaTheme="minorHAnsi" w:hAnsi="Gellix" w:cstheme="minorBidi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30E86"/>
    <w:multiLevelType w:val="hybridMultilevel"/>
    <w:tmpl w:val="BEDA59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E0838"/>
    <w:multiLevelType w:val="hybridMultilevel"/>
    <w:tmpl w:val="86C22CB8"/>
    <w:lvl w:ilvl="0" w:tplc="099E6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A6846"/>
    <w:multiLevelType w:val="hybridMultilevel"/>
    <w:tmpl w:val="65026984"/>
    <w:lvl w:ilvl="0" w:tplc="782A4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53463"/>
    <w:multiLevelType w:val="hybridMultilevel"/>
    <w:tmpl w:val="D052820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2052D"/>
    <w:multiLevelType w:val="hybridMultilevel"/>
    <w:tmpl w:val="8416A9E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21D07"/>
    <w:multiLevelType w:val="hybridMultilevel"/>
    <w:tmpl w:val="CC8A7DE2"/>
    <w:lvl w:ilvl="0" w:tplc="D564DC06">
      <w:start w:val="1"/>
      <w:numFmt w:val="bullet"/>
      <w:lvlText w:val=""/>
      <w:lvlJc w:val="left"/>
      <w:pPr>
        <w:ind w:left="1425" w:hanging="360"/>
      </w:pPr>
      <w:rPr>
        <w:rFonts w:ascii="Aharoni" w:hAnsi="Aharoni" w:cs="Aharoni" w:hint="cs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1467E"/>
    <w:multiLevelType w:val="multilevel"/>
    <w:tmpl w:val="12D8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0771B1"/>
    <w:multiLevelType w:val="multilevel"/>
    <w:tmpl w:val="E0605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A22B19"/>
    <w:multiLevelType w:val="multilevel"/>
    <w:tmpl w:val="367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5414B0"/>
    <w:multiLevelType w:val="hybridMultilevel"/>
    <w:tmpl w:val="D1A4064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761BE"/>
    <w:multiLevelType w:val="multilevel"/>
    <w:tmpl w:val="0CCE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FC36CA"/>
    <w:multiLevelType w:val="multilevel"/>
    <w:tmpl w:val="3D46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305E76"/>
    <w:multiLevelType w:val="hybridMultilevel"/>
    <w:tmpl w:val="50263F5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00C37"/>
    <w:multiLevelType w:val="hybridMultilevel"/>
    <w:tmpl w:val="A6EC3A1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24D6E"/>
    <w:multiLevelType w:val="multilevel"/>
    <w:tmpl w:val="4E8A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4327568">
    <w:abstractNumId w:val="20"/>
  </w:num>
  <w:num w:numId="2" w16cid:durableId="1138110418">
    <w:abstractNumId w:val="12"/>
  </w:num>
  <w:num w:numId="3" w16cid:durableId="1823156136">
    <w:abstractNumId w:val="16"/>
  </w:num>
  <w:num w:numId="4" w16cid:durableId="1557861372">
    <w:abstractNumId w:val="1"/>
  </w:num>
  <w:num w:numId="5" w16cid:durableId="1134255656">
    <w:abstractNumId w:val="15"/>
  </w:num>
  <w:num w:numId="6" w16cid:durableId="653803288">
    <w:abstractNumId w:val="19"/>
  </w:num>
  <w:num w:numId="7" w16cid:durableId="142353177">
    <w:abstractNumId w:val="14"/>
  </w:num>
  <w:num w:numId="8" w16cid:durableId="1978147962">
    <w:abstractNumId w:val="4"/>
  </w:num>
  <w:num w:numId="9" w16cid:durableId="537819314">
    <w:abstractNumId w:val="22"/>
  </w:num>
  <w:num w:numId="10" w16cid:durableId="1249927808">
    <w:abstractNumId w:val="2"/>
  </w:num>
  <w:num w:numId="11" w16cid:durableId="1471628926">
    <w:abstractNumId w:val="0"/>
  </w:num>
  <w:num w:numId="12" w16cid:durableId="1722362653">
    <w:abstractNumId w:val="13"/>
  </w:num>
  <w:num w:numId="13" w16cid:durableId="726993560">
    <w:abstractNumId w:val="5"/>
  </w:num>
  <w:num w:numId="14" w16cid:durableId="1061518732">
    <w:abstractNumId w:val="8"/>
  </w:num>
  <w:num w:numId="15" w16cid:durableId="1190802412">
    <w:abstractNumId w:val="7"/>
  </w:num>
  <w:num w:numId="16" w16cid:durableId="1724252472">
    <w:abstractNumId w:val="17"/>
  </w:num>
  <w:num w:numId="17" w16cid:durableId="278683014">
    <w:abstractNumId w:val="3"/>
  </w:num>
  <w:num w:numId="18" w16cid:durableId="1145657941">
    <w:abstractNumId w:val="9"/>
  </w:num>
  <w:num w:numId="19" w16cid:durableId="2044161825">
    <w:abstractNumId w:val="6"/>
  </w:num>
  <w:num w:numId="20" w16cid:durableId="707951390">
    <w:abstractNumId w:val="21"/>
  </w:num>
  <w:num w:numId="21" w16cid:durableId="1787698852">
    <w:abstractNumId w:val="10"/>
  </w:num>
  <w:num w:numId="22" w16cid:durableId="873424904">
    <w:abstractNumId w:val="11"/>
  </w:num>
  <w:num w:numId="23" w16cid:durableId="7865800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508"/>
    <w:rsid w:val="00040E6E"/>
    <w:rsid w:val="00087A3D"/>
    <w:rsid w:val="001019FA"/>
    <w:rsid w:val="00121DBD"/>
    <w:rsid w:val="00135937"/>
    <w:rsid w:val="001830B9"/>
    <w:rsid w:val="00196E38"/>
    <w:rsid w:val="002319EB"/>
    <w:rsid w:val="0024154F"/>
    <w:rsid w:val="00256388"/>
    <w:rsid w:val="002C1E1F"/>
    <w:rsid w:val="002D5492"/>
    <w:rsid w:val="002F6E87"/>
    <w:rsid w:val="00307508"/>
    <w:rsid w:val="00331085"/>
    <w:rsid w:val="00387996"/>
    <w:rsid w:val="003A3751"/>
    <w:rsid w:val="003C703B"/>
    <w:rsid w:val="0042237F"/>
    <w:rsid w:val="00427A9B"/>
    <w:rsid w:val="004A3EA5"/>
    <w:rsid w:val="004E2B8E"/>
    <w:rsid w:val="005114FB"/>
    <w:rsid w:val="00523F6D"/>
    <w:rsid w:val="00535B76"/>
    <w:rsid w:val="00574AD4"/>
    <w:rsid w:val="00581D1C"/>
    <w:rsid w:val="005B0CC4"/>
    <w:rsid w:val="005C0039"/>
    <w:rsid w:val="00636F64"/>
    <w:rsid w:val="00651629"/>
    <w:rsid w:val="00664B4B"/>
    <w:rsid w:val="00741167"/>
    <w:rsid w:val="0075354C"/>
    <w:rsid w:val="007B0862"/>
    <w:rsid w:val="00812FB3"/>
    <w:rsid w:val="0083108C"/>
    <w:rsid w:val="009127F1"/>
    <w:rsid w:val="009269B9"/>
    <w:rsid w:val="009762BC"/>
    <w:rsid w:val="009B22A5"/>
    <w:rsid w:val="009C2750"/>
    <w:rsid w:val="009D6309"/>
    <w:rsid w:val="00A778D4"/>
    <w:rsid w:val="00A9656C"/>
    <w:rsid w:val="00AC599B"/>
    <w:rsid w:val="00AD0436"/>
    <w:rsid w:val="00AD20CD"/>
    <w:rsid w:val="00B032DA"/>
    <w:rsid w:val="00B238D7"/>
    <w:rsid w:val="00B32901"/>
    <w:rsid w:val="00C040D4"/>
    <w:rsid w:val="00C42287"/>
    <w:rsid w:val="00C64F54"/>
    <w:rsid w:val="00C6747C"/>
    <w:rsid w:val="00C93329"/>
    <w:rsid w:val="00CA27B0"/>
    <w:rsid w:val="00CE1F96"/>
    <w:rsid w:val="00D00101"/>
    <w:rsid w:val="00D31739"/>
    <w:rsid w:val="00DA5860"/>
    <w:rsid w:val="00DD49FE"/>
    <w:rsid w:val="00E50054"/>
    <w:rsid w:val="00E51317"/>
    <w:rsid w:val="00E75293"/>
    <w:rsid w:val="00EF6BBD"/>
    <w:rsid w:val="00F2478B"/>
    <w:rsid w:val="00FD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29F34"/>
  <w15:chartTrackingRefBased/>
  <w15:docId w15:val="{C032DB3E-1F34-4D55-BE81-ECE605FE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7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07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075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07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75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7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7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7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7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07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07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075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0750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0750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075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075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075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075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07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07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7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07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07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075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075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0750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7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0750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07508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81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1D1C"/>
  </w:style>
  <w:style w:type="paragraph" w:styleId="Pieddepage">
    <w:name w:val="footer"/>
    <w:basedOn w:val="Normal"/>
    <w:link w:val="PieddepageCar"/>
    <w:uiPriority w:val="99"/>
    <w:unhideWhenUsed/>
    <w:rsid w:val="00581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1D1C"/>
  </w:style>
  <w:style w:type="character" w:styleId="Lienhypertexte">
    <w:name w:val="Hyperlink"/>
    <w:basedOn w:val="Policepardfaut"/>
    <w:uiPriority w:val="99"/>
    <w:unhideWhenUsed/>
    <w:rsid w:val="002F6E8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F6E87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121DB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5C00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C003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C003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00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00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w.ch/fr.html" TargetMode="External"/><Relationship Id="rId13" Type="http://schemas.openxmlformats.org/officeDocument/2006/relationships/hyperlink" Target="https://www.unine.ch/ids/wp-content/uploads/sites/25/Revision-LPD_prise_position-IDS_3.0.pdf" TargetMode="External"/><Relationship Id="rId18" Type="http://schemas.openxmlformats.org/officeDocument/2006/relationships/hyperlink" Target="https://www.unine.ch/ids/wp-content/uploads/sites/25/Prise_de_position_IDS_LEp_revision_totale_2008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unine.ch/ids/wp-content/uploads/sites/25/propmodifAPLRH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nine.ch/ids/wp-content/uploads/sites/25/IDS_cg_consultation_assm_formulaire.pdf" TargetMode="External"/><Relationship Id="rId17" Type="http://schemas.openxmlformats.org/officeDocument/2006/relationships/hyperlink" Target="https://www.admin.ch/opc/fr/classified-compilation/20071012/index.html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unine.ch/ids/wp-content/uploads/sites/25/COM_2012_369_ENVI20130529_Commentaires_Sprumont_31082013.pdf" TargetMode="External"/><Relationship Id="rId20" Type="http://schemas.openxmlformats.org/officeDocument/2006/relationships/hyperlink" Target="https://www.unine.ch/ids/wp-content/uploads/sites/25/CommentaireAPLRH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ne.ch/ids/wp-content/uploads/sites/25/FRANC__Tobacco-Products-Act-Consultation_2018.docx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unine.ch/ids/wp-content/uploads/sites/25/IDS_UNINE_LAGH_Formulaire-de-reponse_26052015.pdf" TargetMode="External"/><Relationship Id="rId23" Type="http://schemas.openxmlformats.org/officeDocument/2006/relationships/hyperlink" Target="https://www.unine.ch/ids/wp-content/uploads/sites/25/Consultation_Dijon_07-03-13.pdf" TargetMode="External"/><Relationship Id="rId10" Type="http://schemas.openxmlformats.org/officeDocument/2006/relationships/hyperlink" Target="https://www.unine.ch/ids/wp-content/uploads/sites/25/Prise-position_DFAE-DFER_11.07.2019.pdf" TargetMode="External"/><Relationship Id="rId19" Type="http://schemas.openxmlformats.org/officeDocument/2006/relationships/hyperlink" Target="https://www.admin.ch/opc/fr/classified-compilation/20061313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ne.ch/ids/wp-content/uploads/sites/25/formulaire_assm_consultation_industrie_IDS.pdf" TargetMode="External"/><Relationship Id="rId14" Type="http://schemas.openxmlformats.org/officeDocument/2006/relationships/hyperlink" Target="https://www.admin.ch/opc/fr/classified-compilation/20011087/index.html" TargetMode="External"/><Relationship Id="rId22" Type="http://schemas.openxmlformats.org/officeDocument/2006/relationships/hyperlink" Target="https://www.admin.ch/opc/fr/classified-compilation/19950286/index.html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487CE-E8CF-45D6-ACA3-59685CBBE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UniNE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Merlino Floriane</dc:creator>
  <cp:keywords/>
  <dc:description/>
  <cp:lastModifiedBy>Merlino Floriane</cp:lastModifiedBy>
  <cp:revision>3</cp:revision>
  <cp:lastPrinted>2026-06-10T08:58:00Z</cp:lastPrinted>
  <dcterms:created xsi:type="dcterms:W3CDTF">2026-06-10T13:00:00Z</dcterms:created>
  <dcterms:modified xsi:type="dcterms:W3CDTF">2026-06-10T13:02:00Z</dcterms:modified>
</cp:coreProperties>
</file>