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66C" w:rsidRDefault="0064566C">
      <w:pPr>
        <w:tabs>
          <w:tab w:val="left" w:pos="4536"/>
        </w:tabs>
        <w:spacing w:line="320" w:lineRule="exact"/>
        <w:rPr>
          <w:rFonts w:cs="Arial"/>
          <w:b/>
          <w:sz w:val="32"/>
          <w:szCs w:val="24"/>
          <w:lang w:val="fr-CH"/>
        </w:rPr>
      </w:pPr>
      <w:bookmarkStart w:id="0" w:name="_GoBack"/>
      <w:bookmarkEnd w:id="0"/>
      <w:r>
        <w:rPr>
          <w:rFonts w:cs="Arial"/>
          <w:b/>
          <w:noProof/>
          <w:sz w:val="32"/>
          <w:szCs w:val="24"/>
          <w:lang w:val="fr-CH"/>
        </w:rPr>
        <w:t>Avis donné par</w:t>
      </w:r>
    </w:p>
    <w:p w:rsidR="0064566C" w:rsidRDefault="0064566C">
      <w:pPr>
        <w:tabs>
          <w:tab w:val="left" w:pos="4536"/>
        </w:tabs>
        <w:spacing w:line="320" w:lineRule="exact"/>
        <w:rPr>
          <w:rFonts w:cs="Arial"/>
          <w:b/>
          <w:sz w:val="32"/>
          <w:szCs w:val="24"/>
          <w:lang w:val="fr-CH"/>
        </w:rPr>
      </w:pPr>
    </w:p>
    <w:p w:rsidR="0064566C" w:rsidRDefault="0064566C">
      <w:pPr>
        <w:tabs>
          <w:tab w:val="left" w:pos="4536"/>
        </w:tabs>
        <w:spacing w:line="240" w:lineRule="exact"/>
        <w:rPr>
          <w:rFonts w:cs="Arial"/>
          <w:b/>
          <w:sz w:val="24"/>
          <w:szCs w:val="24"/>
          <w:lang w:val="fr-CH"/>
        </w:rPr>
      </w:pPr>
    </w:p>
    <w:p w:rsidR="0064566C" w:rsidRPr="00CB218F" w:rsidRDefault="0064566C">
      <w:pPr>
        <w:tabs>
          <w:tab w:val="left" w:pos="4111"/>
        </w:tabs>
        <w:spacing w:line="240" w:lineRule="exact"/>
        <w:rPr>
          <w:rFonts w:cs="Arial"/>
          <w:sz w:val="24"/>
          <w:szCs w:val="24"/>
          <w:lang w:val="fr-CH"/>
        </w:rPr>
      </w:pPr>
      <w:r>
        <w:rPr>
          <w:rFonts w:cs="Arial"/>
          <w:noProof/>
          <w:sz w:val="24"/>
          <w:szCs w:val="24"/>
          <w:lang w:val="fr-CH"/>
        </w:rPr>
        <w:t>Nom / société / organisation</w:t>
      </w:r>
      <w:r>
        <w:rPr>
          <w:rFonts w:cs="Arial"/>
          <w:sz w:val="24"/>
          <w:szCs w:val="24"/>
          <w:lang w:val="fr-CH"/>
        </w:rPr>
        <w:tab/>
      </w:r>
      <w:r>
        <w:rPr>
          <w:rFonts w:cs="Arial"/>
          <w:sz w:val="24"/>
          <w:szCs w:val="24"/>
          <w:lang w:val="fr-CH"/>
        </w:rPr>
        <w:tab/>
      </w:r>
      <w:r>
        <w:rPr>
          <w:rFonts w:cs="Arial"/>
          <w:sz w:val="24"/>
          <w:szCs w:val="24"/>
          <w:lang w:val="fr-CH"/>
        </w:rPr>
        <w:tab/>
        <w:t xml:space="preserve">: </w:t>
      </w:r>
      <w:r w:rsidR="0072436A">
        <w:rPr>
          <w:rFonts w:cs="Arial"/>
          <w:sz w:val="24"/>
          <w:szCs w:val="24"/>
        </w:rPr>
        <w:fldChar w:fldCharType="begin">
          <w:ffData>
            <w:name w:val="short"/>
            <w:enabled/>
            <w:calcOnExit/>
            <w:textInput/>
          </w:ffData>
        </w:fldChar>
      </w:r>
      <w:r w:rsidR="0072436A">
        <w:rPr>
          <w:rFonts w:cs="Arial"/>
          <w:sz w:val="24"/>
          <w:szCs w:val="24"/>
          <w:lang w:val="fr-CH"/>
        </w:rPr>
        <w:instrText xml:space="preserve"> FORMTEXT </w:instrText>
      </w:r>
      <w:r w:rsidR="0072436A">
        <w:rPr>
          <w:rFonts w:cs="Arial"/>
          <w:sz w:val="24"/>
          <w:szCs w:val="24"/>
        </w:rPr>
      </w:r>
      <w:r w:rsidR="0072436A">
        <w:rPr>
          <w:rFonts w:cs="Arial"/>
          <w:sz w:val="24"/>
          <w:szCs w:val="24"/>
        </w:rPr>
        <w:fldChar w:fldCharType="separate"/>
      </w:r>
      <w:r w:rsidR="0072436A">
        <w:rPr>
          <w:rFonts w:cs="Arial"/>
          <w:noProof/>
          <w:sz w:val="24"/>
          <w:szCs w:val="24"/>
        </w:rPr>
        <w:t> </w:t>
      </w:r>
      <w:r w:rsidR="0072436A">
        <w:rPr>
          <w:rFonts w:cs="Arial"/>
          <w:noProof/>
          <w:sz w:val="24"/>
          <w:szCs w:val="24"/>
        </w:rPr>
        <w:t> </w:t>
      </w:r>
      <w:r w:rsidR="0072436A">
        <w:rPr>
          <w:rFonts w:cs="Arial"/>
          <w:noProof/>
          <w:sz w:val="24"/>
          <w:szCs w:val="24"/>
        </w:rPr>
        <w:t> </w:t>
      </w:r>
      <w:r w:rsidR="0072436A">
        <w:rPr>
          <w:rFonts w:cs="Arial"/>
          <w:noProof/>
          <w:sz w:val="24"/>
          <w:szCs w:val="24"/>
        </w:rPr>
        <w:t> </w:t>
      </w:r>
      <w:r w:rsidR="0072436A">
        <w:rPr>
          <w:rFonts w:cs="Arial"/>
          <w:noProof/>
          <w:sz w:val="24"/>
          <w:szCs w:val="24"/>
        </w:rPr>
        <w:t> </w:t>
      </w:r>
      <w:r w:rsidR="0072436A">
        <w:rPr>
          <w:rFonts w:cs="Arial"/>
          <w:sz w:val="24"/>
          <w:szCs w:val="24"/>
        </w:rPr>
        <w:fldChar w:fldCharType="end"/>
      </w:r>
    </w:p>
    <w:p w:rsidR="0064566C" w:rsidRDefault="0064566C">
      <w:pPr>
        <w:tabs>
          <w:tab w:val="left" w:pos="4111"/>
        </w:tabs>
        <w:spacing w:line="240" w:lineRule="exact"/>
        <w:rPr>
          <w:rFonts w:cs="Arial"/>
          <w:sz w:val="24"/>
          <w:szCs w:val="24"/>
          <w:lang w:val="fr-CH"/>
        </w:rPr>
      </w:pPr>
    </w:p>
    <w:p w:rsidR="0064566C" w:rsidRDefault="0064566C">
      <w:pPr>
        <w:tabs>
          <w:tab w:val="left" w:pos="4111"/>
        </w:tabs>
        <w:spacing w:line="240" w:lineRule="exact"/>
        <w:rPr>
          <w:rFonts w:cs="Arial"/>
          <w:sz w:val="24"/>
          <w:szCs w:val="24"/>
          <w:lang w:val="fr-CH"/>
        </w:rPr>
      </w:pPr>
    </w:p>
    <w:p w:rsidR="0064566C" w:rsidRDefault="0064566C">
      <w:pPr>
        <w:tabs>
          <w:tab w:val="left" w:pos="4111"/>
        </w:tabs>
        <w:spacing w:line="240" w:lineRule="exact"/>
        <w:rPr>
          <w:rFonts w:cs="Arial"/>
          <w:sz w:val="24"/>
          <w:szCs w:val="24"/>
          <w:lang w:val="fr-CH"/>
        </w:rPr>
      </w:pPr>
      <w:bookmarkStart w:id="1" w:name="Abk"/>
      <w:r>
        <w:rPr>
          <w:rFonts w:cs="Arial"/>
          <w:noProof/>
          <w:sz w:val="24"/>
          <w:szCs w:val="24"/>
          <w:lang w:val="fr-CH"/>
        </w:rPr>
        <w:t>Abréviation de la société / de l'organisation</w:t>
      </w:r>
      <w:r>
        <w:rPr>
          <w:rFonts w:cs="Arial"/>
          <w:sz w:val="24"/>
          <w:szCs w:val="24"/>
          <w:lang w:val="fr-CH"/>
        </w:rPr>
        <w:tab/>
        <w:t xml:space="preserve">: </w:t>
      </w:r>
      <w:bookmarkStart w:id="2" w:name="short"/>
      <w:bookmarkEnd w:id="1"/>
      <w:r w:rsidR="0072436A">
        <w:rPr>
          <w:rFonts w:cs="Arial"/>
          <w:sz w:val="24"/>
          <w:szCs w:val="24"/>
        </w:rPr>
        <w:fldChar w:fldCharType="begin">
          <w:ffData>
            <w:name w:val="short"/>
            <w:enabled/>
            <w:calcOnExit/>
            <w:textInput/>
          </w:ffData>
        </w:fldChar>
      </w:r>
      <w:r w:rsidR="0072436A">
        <w:rPr>
          <w:rFonts w:cs="Arial"/>
          <w:sz w:val="24"/>
          <w:szCs w:val="24"/>
          <w:lang w:val="fr-CH"/>
        </w:rPr>
        <w:instrText xml:space="preserve"> FORMTEXT </w:instrText>
      </w:r>
      <w:r w:rsidR="0072436A">
        <w:rPr>
          <w:rFonts w:cs="Arial"/>
          <w:sz w:val="24"/>
          <w:szCs w:val="24"/>
        </w:rPr>
      </w:r>
      <w:r w:rsidR="0072436A">
        <w:rPr>
          <w:rFonts w:cs="Arial"/>
          <w:sz w:val="24"/>
          <w:szCs w:val="24"/>
        </w:rPr>
        <w:fldChar w:fldCharType="separate"/>
      </w:r>
      <w:r w:rsidR="0072436A">
        <w:rPr>
          <w:rFonts w:cs="Arial"/>
          <w:noProof/>
          <w:sz w:val="24"/>
          <w:szCs w:val="24"/>
        </w:rPr>
        <w:t> </w:t>
      </w:r>
      <w:r w:rsidR="0072436A">
        <w:rPr>
          <w:rFonts w:cs="Arial"/>
          <w:noProof/>
          <w:sz w:val="24"/>
          <w:szCs w:val="24"/>
        </w:rPr>
        <w:t> </w:t>
      </w:r>
      <w:r w:rsidR="0072436A">
        <w:rPr>
          <w:rFonts w:cs="Arial"/>
          <w:noProof/>
          <w:sz w:val="24"/>
          <w:szCs w:val="24"/>
        </w:rPr>
        <w:t> </w:t>
      </w:r>
      <w:r w:rsidR="0072436A">
        <w:rPr>
          <w:rFonts w:cs="Arial"/>
          <w:noProof/>
          <w:sz w:val="24"/>
          <w:szCs w:val="24"/>
        </w:rPr>
        <w:t> </w:t>
      </w:r>
      <w:r w:rsidR="0072436A">
        <w:rPr>
          <w:rFonts w:cs="Arial"/>
          <w:noProof/>
          <w:sz w:val="24"/>
          <w:szCs w:val="24"/>
        </w:rPr>
        <w:t> </w:t>
      </w:r>
      <w:r w:rsidR="0072436A">
        <w:rPr>
          <w:rFonts w:cs="Arial"/>
          <w:sz w:val="24"/>
          <w:szCs w:val="24"/>
        </w:rPr>
        <w:fldChar w:fldCharType="end"/>
      </w:r>
      <w:bookmarkEnd w:id="2"/>
    </w:p>
    <w:p w:rsidR="0064566C" w:rsidRDefault="0064566C">
      <w:pPr>
        <w:tabs>
          <w:tab w:val="left" w:pos="4111"/>
        </w:tabs>
        <w:spacing w:line="240" w:lineRule="exact"/>
        <w:rPr>
          <w:rFonts w:cs="Arial"/>
          <w:sz w:val="24"/>
          <w:szCs w:val="24"/>
          <w:lang w:val="fr-CH"/>
        </w:rPr>
      </w:pPr>
    </w:p>
    <w:p w:rsidR="0064566C" w:rsidRDefault="0064566C">
      <w:pPr>
        <w:tabs>
          <w:tab w:val="left" w:pos="4111"/>
        </w:tabs>
        <w:spacing w:line="240" w:lineRule="exact"/>
        <w:rPr>
          <w:rFonts w:cs="Arial"/>
          <w:sz w:val="24"/>
          <w:szCs w:val="24"/>
          <w:lang w:val="fr-CH"/>
        </w:rPr>
      </w:pPr>
    </w:p>
    <w:p w:rsidR="00CB218F" w:rsidRPr="00254B1B" w:rsidRDefault="0064566C">
      <w:pPr>
        <w:tabs>
          <w:tab w:val="left" w:pos="4111"/>
        </w:tabs>
        <w:spacing w:line="240" w:lineRule="exact"/>
        <w:rPr>
          <w:rFonts w:cs="Arial"/>
          <w:sz w:val="24"/>
          <w:szCs w:val="24"/>
          <w:lang w:val="fr-CH"/>
        </w:rPr>
      </w:pPr>
      <w:bookmarkStart w:id="3" w:name="Text3"/>
      <w:r w:rsidRPr="00254B1B">
        <w:rPr>
          <w:rFonts w:cs="Arial"/>
          <w:noProof/>
          <w:sz w:val="24"/>
          <w:szCs w:val="24"/>
          <w:lang w:val="fr-CH"/>
        </w:rPr>
        <w:t>Adresse</w:t>
      </w:r>
      <w:r w:rsidRPr="00254B1B">
        <w:rPr>
          <w:rFonts w:cs="Arial"/>
          <w:sz w:val="24"/>
          <w:szCs w:val="24"/>
          <w:lang w:val="fr-CH"/>
        </w:rPr>
        <w:tab/>
      </w:r>
      <w:r w:rsidRPr="00254B1B">
        <w:rPr>
          <w:rFonts w:cs="Arial"/>
          <w:sz w:val="24"/>
          <w:szCs w:val="24"/>
          <w:lang w:val="fr-CH"/>
        </w:rPr>
        <w:tab/>
      </w:r>
      <w:r w:rsidRPr="00254B1B">
        <w:rPr>
          <w:rFonts w:cs="Arial"/>
          <w:sz w:val="24"/>
          <w:szCs w:val="24"/>
          <w:lang w:val="fr-CH"/>
        </w:rPr>
        <w:tab/>
        <w:t xml:space="preserve">: </w:t>
      </w:r>
      <w:bookmarkEnd w:id="3"/>
      <w:r w:rsidR="0072436A">
        <w:rPr>
          <w:rFonts w:cs="Arial"/>
          <w:sz w:val="24"/>
          <w:szCs w:val="24"/>
        </w:rPr>
        <w:fldChar w:fldCharType="begin">
          <w:ffData>
            <w:name w:val="short"/>
            <w:enabled/>
            <w:calcOnExit/>
            <w:textInput/>
          </w:ffData>
        </w:fldChar>
      </w:r>
      <w:r w:rsidR="0072436A">
        <w:rPr>
          <w:rFonts w:cs="Arial"/>
          <w:sz w:val="24"/>
          <w:szCs w:val="24"/>
          <w:lang w:val="fr-CH"/>
        </w:rPr>
        <w:instrText xml:space="preserve"> FORMTEXT </w:instrText>
      </w:r>
      <w:r w:rsidR="0072436A">
        <w:rPr>
          <w:rFonts w:cs="Arial"/>
          <w:sz w:val="24"/>
          <w:szCs w:val="24"/>
        </w:rPr>
      </w:r>
      <w:r w:rsidR="0072436A">
        <w:rPr>
          <w:rFonts w:cs="Arial"/>
          <w:sz w:val="24"/>
          <w:szCs w:val="24"/>
        </w:rPr>
        <w:fldChar w:fldCharType="separate"/>
      </w:r>
      <w:r w:rsidR="0072436A">
        <w:rPr>
          <w:rFonts w:cs="Arial"/>
          <w:noProof/>
          <w:sz w:val="24"/>
          <w:szCs w:val="24"/>
        </w:rPr>
        <w:t> </w:t>
      </w:r>
      <w:r w:rsidR="0072436A">
        <w:rPr>
          <w:rFonts w:cs="Arial"/>
          <w:noProof/>
          <w:sz w:val="24"/>
          <w:szCs w:val="24"/>
        </w:rPr>
        <w:t> </w:t>
      </w:r>
      <w:r w:rsidR="0072436A">
        <w:rPr>
          <w:rFonts w:cs="Arial"/>
          <w:noProof/>
          <w:sz w:val="24"/>
          <w:szCs w:val="24"/>
        </w:rPr>
        <w:t> </w:t>
      </w:r>
      <w:r w:rsidR="0072436A">
        <w:rPr>
          <w:rFonts w:cs="Arial"/>
          <w:noProof/>
          <w:sz w:val="24"/>
          <w:szCs w:val="24"/>
        </w:rPr>
        <w:t> </w:t>
      </w:r>
      <w:r w:rsidR="0072436A">
        <w:rPr>
          <w:rFonts w:cs="Arial"/>
          <w:noProof/>
          <w:sz w:val="24"/>
          <w:szCs w:val="24"/>
        </w:rPr>
        <w:t> </w:t>
      </w:r>
      <w:r w:rsidR="0072436A">
        <w:rPr>
          <w:rFonts w:cs="Arial"/>
          <w:sz w:val="24"/>
          <w:szCs w:val="24"/>
        </w:rPr>
        <w:fldChar w:fldCharType="end"/>
      </w:r>
    </w:p>
    <w:p w:rsidR="0064566C" w:rsidRPr="00254B1B" w:rsidRDefault="0064566C">
      <w:pPr>
        <w:tabs>
          <w:tab w:val="left" w:pos="4111"/>
        </w:tabs>
        <w:spacing w:line="240" w:lineRule="exact"/>
        <w:rPr>
          <w:rFonts w:cs="Arial"/>
          <w:sz w:val="24"/>
          <w:szCs w:val="24"/>
          <w:lang w:val="fr-CH"/>
        </w:rPr>
      </w:pPr>
    </w:p>
    <w:p w:rsidR="0064566C" w:rsidRPr="00254B1B" w:rsidRDefault="0064566C">
      <w:pPr>
        <w:tabs>
          <w:tab w:val="left" w:pos="4111"/>
        </w:tabs>
        <w:spacing w:line="240" w:lineRule="exact"/>
        <w:rPr>
          <w:rFonts w:cs="Arial"/>
          <w:sz w:val="24"/>
          <w:szCs w:val="24"/>
          <w:lang w:val="fr-CH"/>
        </w:rPr>
      </w:pPr>
    </w:p>
    <w:p w:rsidR="0064566C" w:rsidRDefault="0064566C">
      <w:pPr>
        <w:tabs>
          <w:tab w:val="left" w:pos="4111"/>
        </w:tabs>
        <w:spacing w:line="240" w:lineRule="exact"/>
        <w:rPr>
          <w:rFonts w:cs="Arial"/>
          <w:sz w:val="24"/>
          <w:szCs w:val="24"/>
          <w:lang w:val="fr-CH"/>
        </w:rPr>
      </w:pPr>
      <w:r>
        <w:rPr>
          <w:rFonts w:cs="Arial"/>
          <w:noProof/>
          <w:sz w:val="24"/>
          <w:szCs w:val="24"/>
          <w:lang w:val="fr-CH"/>
        </w:rPr>
        <w:t>Personne de référence</w:t>
      </w:r>
      <w:r>
        <w:rPr>
          <w:rFonts w:cs="Arial"/>
          <w:sz w:val="24"/>
          <w:szCs w:val="24"/>
          <w:lang w:val="fr-CH"/>
        </w:rPr>
        <w:tab/>
      </w:r>
      <w:r>
        <w:rPr>
          <w:rFonts w:cs="Arial"/>
          <w:sz w:val="24"/>
          <w:szCs w:val="24"/>
          <w:lang w:val="fr-CH"/>
        </w:rPr>
        <w:tab/>
      </w:r>
      <w:r>
        <w:rPr>
          <w:rFonts w:cs="Arial"/>
          <w:sz w:val="24"/>
          <w:szCs w:val="24"/>
          <w:lang w:val="fr-CH"/>
        </w:rPr>
        <w:tab/>
        <w:t xml:space="preserve">: </w:t>
      </w:r>
      <w:bookmarkStart w:id="4" w:name="Text4"/>
      <w:r>
        <w:rPr>
          <w:rFonts w:cs="Arial"/>
          <w:sz w:val="24"/>
          <w:szCs w:val="24"/>
        </w:rPr>
        <w:fldChar w:fldCharType="begin">
          <w:ffData>
            <w:name w:val="Text4"/>
            <w:enabled/>
            <w:calcOnExit w:val="0"/>
            <w:textInput/>
          </w:ffData>
        </w:fldChar>
      </w:r>
      <w:r>
        <w:rPr>
          <w:rFonts w:cs="Arial"/>
          <w:sz w:val="24"/>
          <w:szCs w:val="24"/>
          <w:lang w:val="fr-CH"/>
        </w:rPr>
        <w:instrText xml:space="preserve"> </w:instrText>
      </w:r>
      <w:r w:rsidR="00935933">
        <w:rPr>
          <w:rFonts w:cs="Arial"/>
          <w:sz w:val="24"/>
          <w:szCs w:val="24"/>
          <w:lang w:val="fr-CH"/>
        </w:rPr>
        <w:instrText>FORMTEXT</w:instrText>
      </w:r>
      <w:r>
        <w:rPr>
          <w:rFonts w:cs="Arial"/>
          <w:sz w:val="24"/>
          <w:szCs w:val="24"/>
          <w:lang w:val="fr-CH"/>
        </w:rPr>
        <w:instrText xml:space="preserve">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4"/>
    </w:p>
    <w:p w:rsidR="0064566C" w:rsidRDefault="0064566C">
      <w:pPr>
        <w:tabs>
          <w:tab w:val="left" w:pos="4111"/>
        </w:tabs>
        <w:spacing w:line="240" w:lineRule="exact"/>
        <w:rPr>
          <w:rFonts w:cs="Arial"/>
          <w:sz w:val="24"/>
          <w:szCs w:val="24"/>
          <w:lang w:val="fr-CH"/>
        </w:rPr>
      </w:pPr>
    </w:p>
    <w:p w:rsidR="0064566C" w:rsidRDefault="0064566C">
      <w:pPr>
        <w:tabs>
          <w:tab w:val="left" w:pos="4111"/>
        </w:tabs>
        <w:spacing w:line="240" w:lineRule="exact"/>
        <w:rPr>
          <w:rFonts w:cs="Arial"/>
          <w:sz w:val="24"/>
          <w:szCs w:val="24"/>
          <w:lang w:val="fr-CH"/>
        </w:rPr>
      </w:pPr>
    </w:p>
    <w:p w:rsidR="0064566C" w:rsidRDefault="0064566C">
      <w:pPr>
        <w:tabs>
          <w:tab w:val="left" w:pos="4111"/>
        </w:tabs>
        <w:spacing w:line="240" w:lineRule="exact"/>
        <w:rPr>
          <w:rFonts w:cs="Arial"/>
          <w:sz w:val="24"/>
          <w:szCs w:val="24"/>
          <w:lang w:val="fr-CH"/>
        </w:rPr>
      </w:pPr>
      <w:r>
        <w:rPr>
          <w:rFonts w:cs="Arial"/>
          <w:noProof/>
          <w:sz w:val="24"/>
          <w:szCs w:val="24"/>
          <w:lang w:val="fr-CH"/>
        </w:rPr>
        <w:t>Téléphone</w:t>
      </w:r>
      <w:r>
        <w:rPr>
          <w:rFonts w:cs="Arial"/>
          <w:sz w:val="24"/>
          <w:szCs w:val="24"/>
          <w:lang w:val="fr-CH"/>
        </w:rPr>
        <w:tab/>
      </w:r>
      <w:r>
        <w:rPr>
          <w:rFonts w:cs="Arial"/>
          <w:sz w:val="24"/>
          <w:szCs w:val="24"/>
          <w:lang w:val="fr-CH"/>
        </w:rPr>
        <w:tab/>
      </w:r>
      <w:r>
        <w:rPr>
          <w:rFonts w:cs="Arial"/>
          <w:sz w:val="24"/>
          <w:szCs w:val="24"/>
          <w:lang w:val="fr-CH"/>
        </w:rPr>
        <w:tab/>
        <w:t xml:space="preserve">: </w:t>
      </w:r>
      <w:bookmarkStart w:id="5" w:name="Text5"/>
      <w:r>
        <w:rPr>
          <w:rFonts w:cs="Arial"/>
          <w:sz w:val="24"/>
          <w:szCs w:val="24"/>
        </w:rPr>
        <w:fldChar w:fldCharType="begin">
          <w:ffData>
            <w:name w:val="Text5"/>
            <w:enabled/>
            <w:calcOnExit w:val="0"/>
            <w:textInput/>
          </w:ffData>
        </w:fldChar>
      </w:r>
      <w:r>
        <w:rPr>
          <w:rFonts w:cs="Arial"/>
          <w:sz w:val="24"/>
          <w:szCs w:val="24"/>
          <w:lang w:val="fr-CH"/>
        </w:rPr>
        <w:instrText xml:space="preserve"> </w:instrText>
      </w:r>
      <w:r w:rsidR="00935933">
        <w:rPr>
          <w:rFonts w:cs="Arial"/>
          <w:sz w:val="24"/>
          <w:szCs w:val="24"/>
          <w:lang w:val="fr-CH"/>
        </w:rPr>
        <w:instrText>FORMTEXT</w:instrText>
      </w:r>
      <w:r>
        <w:rPr>
          <w:rFonts w:cs="Arial"/>
          <w:sz w:val="24"/>
          <w:szCs w:val="24"/>
          <w:lang w:val="fr-CH"/>
        </w:rPr>
        <w:instrText xml:space="preserve">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5"/>
    </w:p>
    <w:p w:rsidR="0064566C" w:rsidRDefault="0064566C">
      <w:pPr>
        <w:tabs>
          <w:tab w:val="left" w:pos="4111"/>
        </w:tabs>
        <w:spacing w:line="240" w:lineRule="exact"/>
        <w:rPr>
          <w:rFonts w:cs="Arial"/>
          <w:sz w:val="24"/>
          <w:szCs w:val="24"/>
          <w:lang w:val="fr-CH"/>
        </w:rPr>
      </w:pPr>
    </w:p>
    <w:p w:rsidR="0064566C" w:rsidRDefault="0064566C">
      <w:pPr>
        <w:tabs>
          <w:tab w:val="left" w:pos="4111"/>
        </w:tabs>
        <w:spacing w:line="240" w:lineRule="exact"/>
        <w:rPr>
          <w:rFonts w:cs="Arial"/>
          <w:sz w:val="24"/>
          <w:szCs w:val="24"/>
          <w:lang w:val="fr-CH"/>
        </w:rPr>
      </w:pPr>
    </w:p>
    <w:p w:rsidR="0064566C" w:rsidRPr="00A52734" w:rsidRDefault="0064566C">
      <w:pPr>
        <w:tabs>
          <w:tab w:val="left" w:pos="4111"/>
        </w:tabs>
        <w:spacing w:line="240" w:lineRule="exact"/>
        <w:rPr>
          <w:rFonts w:cs="Arial"/>
          <w:sz w:val="24"/>
          <w:szCs w:val="24"/>
          <w:lang w:val="en-US"/>
        </w:rPr>
      </w:pPr>
      <w:r w:rsidRPr="00A52734">
        <w:rPr>
          <w:rFonts w:cs="Arial"/>
          <w:noProof/>
          <w:sz w:val="24"/>
          <w:szCs w:val="24"/>
          <w:lang w:val="en-US"/>
        </w:rPr>
        <w:t>Courriel</w:t>
      </w:r>
      <w:r w:rsidRPr="00A52734">
        <w:rPr>
          <w:rFonts w:cs="Arial"/>
          <w:sz w:val="24"/>
          <w:szCs w:val="24"/>
          <w:lang w:val="en-US"/>
        </w:rPr>
        <w:tab/>
      </w:r>
      <w:r w:rsidRPr="00A52734">
        <w:rPr>
          <w:rFonts w:cs="Arial"/>
          <w:sz w:val="24"/>
          <w:szCs w:val="24"/>
          <w:lang w:val="en-US"/>
        </w:rPr>
        <w:tab/>
      </w:r>
      <w:r w:rsidRPr="00A52734">
        <w:rPr>
          <w:rFonts w:cs="Arial"/>
          <w:sz w:val="24"/>
          <w:szCs w:val="24"/>
          <w:lang w:val="en-US"/>
        </w:rPr>
        <w:tab/>
        <w:t xml:space="preserve">: </w:t>
      </w:r>
      <w:bookmarkStart w:id="6" w:name="Text6"/>
      <w:r>
        <w:rPr>
          <w:rFonts w:cs="Arial"/>
          <w:sz w:val="24"/>
          <w:szCs w:val="24"/>
        </w:rPr>
        <w:fldChar w:fldCharType="begin">
          <w:ffData>
            <w:name w:val="Text6"/>
            <w:enabled/>
            <w:calcOnExit w:val="0"/>
            <w:textInput/>
          </w:ffData>
        </w:fldChar>
      </w:r>
      <w:r w:rsidRPr="00A52734">
        <w:rPr>
          <w:rFonts w:cs="Arial"/>
          <w:sz w:val="24"/>
          <w:szCs w:val="24"/>
          <w:lang w:val="en-US"/>
        </w:rPr>
        <w:instrText xml:space="preserve"> </w:instrText>
      </w:r>
      <w:r w:rsidR="00935933">
        <w:rPr>
          <w:rFonts w:cs="Arial"/>
          <w:sz w:val="24"/>
          <w:szCs w:val="24"/>
          <w:lang w:val="en-US"/>
        </w:rPr>
        <w:instrText>FORMTEXT</w:instrText>
      </w:r>
      <w:r w:rsidRPr="00A52734">
        <w:rPr>
          <w:rFonts w:cs="Arial"/>
          <w:sz w:val="24"/>
          <w:szCs w:val="24"/>
          <w:lang w:val="en-US"/>
        </w:rPr>
        <w:instrText xml:space="preserve">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6"/>
    </w:p>
    <w:p w:rsidR="0064566C" w:rsidRPr="00A52734" w:rsidRDefault="0064566C">
      <w:pPr>
        <w:tabs>
          <w:tab w:val="left" w:pos="4111"/>
        </w:tabs>
        <w:spacing w:line="240" w:lineRule="exact"/>
        <w:rPr>
          <w:rFonts w:cs="Arial"/>
          <w:sz w:val="24"/>
          <w:szCs w:val="24"/>
          <w:lang w:val="en-US"/>
        </w:rPr>
      </w:pPr>
    </w:p>
    <w:p w:rsidR="0064566C" w:rsidRPr="00A52734" w:rsidRDefault="0064566C">
      <w:pPr>
        <w:tabs>
          <w:tab w:val="left" w:pos="4111"/>
        </w:tabs>
        <w:spacing w:line="240" w:lineRule="exact"/>
        <w:rPr>
          <w:rFonts w:cs="Arial"/>
          <w:sz w:val="24"/>
          <w:szCs w:val="24"/>
          <w:lang w:val="en-US"/>
        </w:rPr>
      </w:pPr>
    </w:p>
    <w:p w:rsidR="0064566C" w:rsidRPr="00A52734" w:rsidRDefault="0064566C">
      <w:pPr>
        <w:tabs>
          <w:tab w:val="left" w:pos="4111"/>
        </w:tabs>
        <w:spacing w:line="240" w:lineRule="exact"/>
        <w:rPr>
          <w:rFonts w:cs="Arial"/>
          <w:sz w:val="24"/>
          <w:szCs w:val="24"/>
          <w:lang w:val="en-US"/>
        </w:rPr>
      </w:pPr>
      <w:r w:rsidRPr="00A52734">
        <w:rPr>
          <w:rFonts w:cs="Arial"/>
          <w:noProof/>
          <w:sz w:val="24"/>
          <w:szCs w:val="24"/>
          <w:lang w:val="en-US"/>
        </w:rPr>
        <w:t>Date</w:t>
      </w:r>
      <w:r w:rsidRPr="00A52734">
        <w:rPr>
          <w:rFonts w:cs="Arial"/>
          <w:sz w:val="24"/>
          <w:szCs w:val="24"/>
          <w:lang w:val="en-US"/>
        </w:rPr>
        <w:tab/>
      </w:r>
      <w:r w:rsidRPr="00A52734">
        <w:rPr>
          <w:rFonts w:cs="Arial"/>
          <w:sz w:val="24"/>
          <w:szCs w:val="24"/>
          <w:lang w:val="en-US"/>
        </w:rPr>
        <w:tab/>
      </w:r>
      <w:r w:rsidRPr="00A52734">
        <w:rPr>
          <w:rFonts w:cs="Arial"/>
          <w:sz w:val="24"/>
          <w:szCs w:val="24"/>
          <w:lang w:val="en-US"/>
        </w:rPr>
        <w:tab/>
        <w:t xml:space="preserve">: </w:t>
      </w:r>
      <w:bookmarkStart w:id="7" w:name="Text7"/>
      <w:r>
        <w:rPr>
          <w:rFonts w:cs="Arial"/>
          <w:sz w:val="24"/>
          <w:szCs w:val="24"/>
        </w:rPr>
        <w:fldChar w:fldCharType="begin">
          <w:ffData>
            <w:name w:val="Text7"/>
            <w:enabled/>
            <w:calcOnExit w:val="0"/>
            <w:textInput/>
          </w:ffData>
        </w:fldChar>
      </w:r>
      <w:r w:rsidRPr="00A52734">
        <w:rPr>
          <w:rFonts w:cs="Arial"/>
          <w:sz w:val="24"/>
          <w:szCs w:val="24"/>
          <w:lang w:val="en-US"/>
        </w:rPr>
        <w:instrText xml:space="preserve"> </w:instrText>
      </w:r>
      <w:r w:rsidR="00935933">
        <w:rPr>
          <w:rFonts w:cs="Arial"/>
          <w:sz w:val="24"/>
          <w:szCs w:val="24"/>
          <w:lang w:val="en-US"/>
        </w:rPr>
        <w:instrText>FORMTEXT</w:instrText>
      </w:r>
      <w:r w:rsidRPr="00A52734">
        <w:rPr>
          <w:rFonts w:cs="Arial"/>
          <w:sz w:val="24"/>
          <w:szCs w:val="24"/>
          <w:lang w:val="en-US"/>
        </w:rPr>
        <w:instrText xml:space="preserve">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7"/>
    </w:p>
    <w:p w:rsidR="0064566C" w:rsidRPr="00A52734" w:rsidRDefault="0064566C">
      <w:pPr>
        <w:tabs>
          <w:tab w:val="left" w:pos="4111"/>
        </w:tabs>
        <w:spacing w:line="240" w:lineRule="exact"/>
        <w:rPr>
          <w:rFonts w:cs="Arial"/>
          <w:sz w:val="24"/>
          <w:szCs w:val="24"/>
          <w:lang w:val="en-US"/>
        </w:rPr>
      </w:pPr>
    </w:p>
    <w:p w:rsidR="0064566C" w:rsidRPr="00A52734" w:rsidRDefault="0064566C">
      <w:pPr>
        <w:tabs>
          <w:tab w:val="left" w:pos="4111"/>
        </w:tabs>
        <w:spacing w:line="240" w:lineRule="exact"/>
        <w:rPr>
          <w:rFonts w:cs="Arial"/>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4"/>
      </w:tblGrid>
      <w:tr w:rsidR="0064566C" w:rsidRPr="00254B1B">
        <w:tc>
          <w:tcPr>
            <w:tcW w:w="15354" w:type="dxa"/>
            <w:shd w:val="clear" w:color="auto" w:fill="FFFF99"/>
          </w:tcPr>
          <w:p w:rsidR="0064566C" w:rsidRDefault="0064566C">
            <w:pPr>
              <w:rPr>
                <w:rFonts w:cs="Arial"/>
                <w:b/>
                <w:color w:val="FF0000"/>
                <w:szCs w:val="24"/>
                <w:lang w:val="fr-CH"/>
              </w:rPr>
            </w:pPr>
            <w:r>
              <w:rPr>
                <w:rFonts w:cs="Arial"/>
                <w:b/>
                <w:color w:val="FF0000"/>
                <w:szCs w:val="24"/>
                <w:lang w:val="fr-CH"/>
              </w:rPr>
              <w:t>Remarques importantes :</w:t>
            </w:r>
          </w:p>
          <w:p w:rsidR="0064566C" w:rsidRDefault="0064566C">
            <w:pPr>
              <w:tabs>
                <w:tab w:val="left" w:pos="284"/>
              </w:tabs>
              <w:ind w:left="284" w:hanging="284"/>
              <w:rPr>
                <w:rFonts w:cs="Arial"/>
                <w:szCs w:val="24"/>
                <w:lang w:val="fr-CH"/>
              </w:rPr>
            </w:pPr>
            <w:r>
              <w:rPr>
                <w:rFonts w:cs="Arial"/>
                <w:szCs w:val="24"/>
                <w:lang w:val="fr-CH"/>
              </w:rPr>
              <w:t>1.</w:t>
            </w:r>
            <w:r>
              <w:rPr>
                <w:rFonts w:cs="Arial"/>
                <w:szCs w:val="24"/>
                <w:lang w:val="fr-CH"/>
              </w:rPr>
              <w:tab/>
              <w:t>Nous vous prions de ne pas modifier le formatage de ce formulaire !</w:t>
            </w:r>
          </w:p>
          <w:p w:rsidR="0064566C" w:rsidRDefault="0064566C">
            <w:pPr>
              <w:tabs>
                <w:tab w:val="left" w:pos="284"/>
              </w:tabs>
              <w:ind w:left="284" w:hanging="284"/>
              <w:rPr>
                <w:rFonts w:cs="Arial"/>
                <w:szCs w:val="24"/>
                <w:lang w:val="fr-CH"/>
              </w:rPr>
            </w:pPr>
          </w:p>
          <w:p w:rsidR="0064566C" w:rsidRDefault="0064566C">
            <w:pPr>
              <w:tabs>
                <w:tab w:val="left" w:pos="284"/>
              </w:tabs>
              <w:ind w:left="284" w:hanging="284"/>
              <w:rPr>
                <w:szCs w:val="24"/>
                <w:lang w:val="fr-CH"/>
              </w:rPr>
            </w:pPr>
            <w:r>
              <w:rPr>
                <w:rFonts w:cs="Arial"/>
                <w:szCs w:val="24"/>
                <w:lang w:val="fr-CH"/>
              </w:rPr>
              <w:t>2.</w:t>
            </w:r>
            <w:r>
              <w:rPr>
                <w:rFonts w:cs="Arial"/>
                <w:szCs w:val="24"/>
                <w:lang w:val="fr-CH"/>
              </w:rPr>
              <w:tab/>
            </w:r>
            <w:r>
              <w:rPr>
                <w:szCs w:val="24"/>
                <w:lang w:val="fr-CH"/>
              </w:rPr>
              <w:t xml:space="preserve">Pour effacer des tableaux ou insérer de nouvelles lignes, cliquez sur « Révision/Protéger un document/Désactiver la protection » afin de pouvoir travailler dans le document. Voir guide dans l'annexe. </w:t>
            </w:r>
          </w:p>
          <w:p w:rsidR="0064566C" w:rsidRDefault="0064566C">
            <w:pPr>
              <w:tabs>
                <w:tab w:val="left" w:pos="284"/>
              </w:tabs>
              <w:ind w:left="284" w:hanging="284"/>
              <w:rPr>
                <w:szCs w:val="24"/>
                <w:lang w:val="fr-CH"/>
              </w:rPr>
            </w:pPr>
          </w:p>
          <w:p w:rsidR="0064566C" w:rsidRDefault="0064566C">
            <w:pPr>
              <w:tabs>
                <w:tab w:val="left" w:pos="284"/>
              </w:tabs>
              <w:rPr>
                <w:rFonts w:cs="Arial"/>
                <w:szCs w:val="24"/>
                <w:lang w:val="fr-CH"/>
              </w:rPr>
            </w:pPr>
            <w:r>
              <w:rPr>
                <w:rFonts w:cs="Arial"/>
                <w:szCs w:val="24"/>
                <w:lang w:val="fr-CH"/>
              </w:rPr>
              <w:t>3.</w:t>
            </w:r>
            <w:r>
              <w:rPr>
                <w:rFonts w:cs="Arial"/>
                <w:szCs w:val="24"/>
                <w:lang w:val="fr-CH"/>
              </w:rPr>
              <w:tab/>
              <w:t>Utilisez une ligne par article, alinéa et lettre ou par chapitre du rapport explicatif.</w:t>
            </w:r>
          </w:p>
          <w:p w:rsidR="0064566C" w:rsidRDefault="0064566C">
            <w:pPr>
              <w:rPr>
                <w:rFonts w:cs="Arial"/>
                <w:szCs w:val="24"/>
                <w:lang w:val="fr-CH"/>
              </w:rPr>
            </w:pPr>
          </w:p>
          <w:p w:rsidR="0064566C" w:rsidRDefault="0064566C">
            <w:pPr>
              <w:tabs>
                <w:tab w:val="left" w:pos="284"/>
              </w:tabs>
              <w:rPr>
                <w:rFonts w:cs="Arial"/>
                <w:szCs w:val="24"/>
                <w:lang w:val="fr-CH"/>
              </w:rPr>
            </w:pPr>
            <w:bookmarkStart w:id="8" w:name="_Hlt231974909"/>
            <w:bookmarkStart w:id="9" w:name="_Hlt231974910"/>
            <w:r>
              <w:rPr>
                <w:rFonts w:cs="Arial"/>
                <w:szCs w:val="24"/>
                <w:lang w:val="fr-CH"/>
              </w:rPr>
              <w:t>4.</w:t>
            </w:r>
            <w:r>
              <w:rPr>
                <w:rFonts w:cs="Arial"/>
                <w:szCs w:val="24"/>
                <w:lang w:val="fr-CH"/>
              </w:rPr>
              <w:tab/>
              <w:t xml:space="preserve">Veuillez faire parvenir votre avis au </w:t>
            </w:r>
            <w:r>
              <w:rPr>
                <w:rFonts w:cs="Arial"/>
                <w:b/>
                <w:szCs w:val="24"/>
                <w:lang w:val="fr-CH"/>
              </w:rPr>
              <w:t>format Word</w:t>
            </w:r>
            <w:r>
              <w:rPr>
                <w:rFonts w:cs="Arial"/>
                <w:szCs w:val="24"/>
                <w:lang w:val="fr-CH"/>
              </w:rPr>
              <w:t xml:space="preserve"> d'ici au </w:t>
            </w:r>
            <w:r w:rsidR="00BD4E4E">
              <w:rPr>
                <w:rFonts w:cs="Arial"/>
                <w:b/>
                <w:szCs w:val="24"/>
                <w:lang w:val="fr-CH"/>
              </w:rPr>
              <w:t>23</w:t>
            </w:r>
            <w:r w:rsidR="00ED4A3C" w:rsidRPr="00ED4A3C">
              <w:rPr>
                <w:rFonts w:cs="Arial"/>
                <w:b/>
                <w:szCs w:val="24"/>
                <w:lang w:val="fr-CH"/>
              </w:rPr>
              <w:t xml:space="preserve"> mars 2018</w:t>
            </w:r>
            <w:r w:rsidR="00ED4A3C">
              <w:rPr>
                <w:rFonts w:cs="Arial"/>
                <w:szCs w:val="24"/>
                <w:lang w:val="fr-CH"/>
              </w:rPr>
              <w:t xml:space="preserve"> </w:t>
            </w:r>
            <w:r>
              <w:rPr>
                <w:rFonts w:cs="Arial"/>
                <w:szCs w:val="24"/>
                <w:lang w:val="fr-CH"/>
              </w:rPr>
              <w:t xml:space="preserve">aux adresses suivantes : </w:t>
            </w:r>
            <w:hyperlink r:id="rId8" w:history="1">
              <w:r>
                <w:rPr>
                  <w:rStyle w:val="Lienhypertexte"/>
                  <w:rFonts w:cs="Arial"/>
                  <w:szCs w:val="24"/>
                  <w:lang w:val="fr-CH"/>
                </w:rPr>
                <w:t>dm@bag.admin.ch</w:t>
              </w:r>
            </w:hyperlink>
            <w:r>
              <w:rPr>
                <w:rFonts w:cs="Arial"/>
                <w:szCs w:val="24"/>
                <w:lang w:val="fr-CH"/>
              </w:rPr>
              <w:t xml:space="preserve"> et </w:t>
            </w:r>
            <w:hyperlink r:id="rId9" w:history="1">
              <w:r w:rsidR="00ED4A3C" w:rsidRPr="00735A83">
                <w:rPr>
                  <w:rStyle w:val="Lienhypertexte"/>
                  <w:rFonts w:cs="Arial"/>
                  <w:szCs w:val="24"/>
                  <w:lang w:val="fr-CH"/>
                </w:rPr>
                <w:t>tabakprodukte@bag.admin.ch</w:t>
              </w:r>
            </w:hyperlink>
            <w:r w:rsidR="00ED4A3C">
              <w:rPr>
                <w:rFonts w:cs="Arial"/>
                <w:szCs w:val="24"/>
                <w:lang w:val="fr-CH"/>
              </w:rPr>
              <w:t xml:space="preserve"> </w:t>
            </w:r>
            <w:r>
              <w:rPr>
                <w:rFonts w:cs="Arial"/>
                <w:szCs w:val="24"/>
                <w:lang w:val="fr-CH"/>
              </w:rPr>
              <w:t xml:space="preserve"> </w:t>
            </w:r>
          </w:p>
          <w:bookmarkEnd w:id="8"/>
          <w:bookmarkEnd w:id="9"/>
          <w:p w:rsidR="0064566C" w:rsidRDefault="0064566C">
            <w:pPr>
              <w:tabs>
                <w:tab w:val="left" w:pos="284"/>
              </w:tabs>
              <w:rPr>
                <w:rFonts w:cs="Arial"/>
                <w:szCs w:val="24"/>
                <w:lang w:val="fr-CH"/>
              </w:rPr>
            </w:pPr>
          </w:p>
          <w:p w:rsidR="0064566C" w:rsidRDefault="0064566C">
            <w:pPr>
              <w:tabs>
                <w:tab w:val="left" w:pos="284"/>
              </w:tabs>
              <w:rPr>
                <w:rFonts w:cs="Arial"/>
                <w:szCs w:val="24"/>
                <w:lang w:val="fr-CH"/>
              </w:rPr>
            </w:pPr>
            <w:r>
              <w:rPr>
                <w:rFonts w:cs="Arial"/>
                <w:szCs w:val="24"/>
                <w:lang w:val="fr-CH"/>
              </w:rPr>
              <w:t>5.</w:t>
            </w:r>
            <w:r>
              <w:rPr>
                <w:rFonts w:cs="Arial"/>
                <w:szCs w:val="24"/>
                <w:lang w:val="fr-CH"/>
              </w:rPr>
              <w:tab/>
              <w:t>Le champ « nom/société » n'est pas obligatoire.</w:t>
            </w:r>
          </w:p>
          <w:p w:rsidR="0064566C" w:rsidRDefault="0064566C">
            <w:pPr>
              <w:rPr>
                <w:b/>
                <w:lang w:val="fr-CH"/>
              </w:rPr>
            </w:pPr>
          </w:p>
          <w:p w:rsidR="0064566C" w:rsidRDefault="0064566C">
            <w:pPr>
              <w:tabs>
                <w:tab w:val="left" w:pos="284"/>
              </w:tabs>
              <w:jc w:val="center"/>
              <w:rPr>
                <w:rFonts w:cs="Arial"/>
                <w:sz w:val="24"/>
                <w:szCs w:val="24"/>
                <w:lang w:val="fr-CH"/>
              </w:rPr>
            </w:pPr>
            <w:r>
              <w:rPr>
                <w:b/>
                <w:lang w:val="fr-CH"/>
              </w:rPr>
              <w:t>Nous vous remercions de votre collaboration!</w:t>
            </w:r>
          </w:p>
        </w:tc>
      </w:tr>
    </w:tbl>
    <w:p w:rsidR="0064566C" w:rsidRDefault="0064566C">
      <w:pPr>
        <w:tabs>
          <w:tab w:val="left" w:pos="4111"/>
        </w:tabs>
        <w:spacing w:line="240" w:lineRule="exact"/>
        <w:rPr>
          <w:rFonts w:cs="Arial"/>
          <w:sz w:val="24"/>
          <w:szCs w:val="24"/>
          <w:lang w:val="fr-CH"/>
        </w:rPr>
      </w:pPr>
    </w:p>
    <w:p w:rsidR="0064566C" w:rsidRDefault="0064566C">
      <w:pPr>
        <w:tabs>
          <w:tab w:val="left" w:pos="2268"/>
        </w:tabs>
        <w:rPr>
          <w:rFonts w:cs="Arial"/>
          <w:sz w:val="24"/>
          <w:szCs w:val="24"/>
          <w:lang w:val="fr-CH"/>
        </w:rPr>
        <w:sectPr w:rsidR="0064566C">
          <w:headerReference w:type="default" r:id="rId10"/>
          <w:footerReference w:type="default" r:id="rId11"/>
          <w:headerReference w:type="first" r:id="rId12"/>
          <w:footerReference w:type="first" r:id="rId13"/>
          <w:pgSz w:w="16840" w:h="11907" w:orient="landscape" w:code="9"/>
          <w:pgMar w:top="851" w:right="851" w:bottom="567" w:left="851" w:header="567" w:footer="567" w:gutter="0"/>
          <w:pgNumType w:start="1"/>
          <w:cols w:space="720"/>
        </w:sectPr>
      </w:pPr>
    </w:p>
    <w:p w:rsidR="0064566C" w:rsidRDefault="0064566C">
      <w:pPr>
        <w:pStyle w:val="Titre"/>
        <w:rPr>
          <w:bCs w:val="0"/>
          <w:szCs w:val="24"/>
        </w:rPr>
      </w:pPr>
      <w:r>
        <w:rPr>
          <w:bCs w:val="0"/>
          <w:szCs w:val="24"/>
          <w:lang w:val="fr-CH"/>
        </w:rPr>
        <w:lastRenderedPageBreak/>
        <w:t>Table des matières</w:t>
      </w:r>
    </w:p>
    <w:p w:rsidR="0064566C" w:rsidRDefault="0064566C">
      <w:pPr>
        <w:rPr>
          <w:rFonts w:cs="Arial"/>
          <w:szCs w:val="24"/>
        </w:rPr>
      </w:pPr>
    </w:p>
    <w:p w:rsidR="0064566C" w:rsidRDefault="0064566C">
      <w:pPr>
        <w:pStyle w:val="TM1"/>
        <w:tabs>
          <w:tab w:val="right" w:leader="underscore" w:pos="14560"/>
        </w:tabs>
        <w:rPr>
          <w:rFonts w:ascii="Calibri" w:hAnsi="Calibri"/>
          <w:b w:val="0"/>
          <w:bCs w:val="0"/>
          <w:iCs w:val="0"/>
          <w:noProof/>
          <w:snapToGrid/>
          <w:sz w:val="22"/>
          <w:szCs w:val="22"/>
          <w:lang w:eastAsia="de-CH"/>
        </w:rPr>
      </w:pPr>
      <w:r>
        <w:rPr>
          <w:rFonts w:ascii="Arial" w:hAnsi="Arial" w:cs="Arial"/>
          <w:bCs w:val="0"/>
          <w:i/>
          <w:iCs w:val="0"/>
        </w:rPr>
        <w:fldChar w:fldCharType="begin"/>
      </w:r>
      <w:r>
        <w:rPr>
          <w:rFonts w:ascii="Arial" w:hAnsi="Arial" w:cs="Arial"/>
          <w:bCs w:val="0"/>
          <w:i/>
          <w:iCs w:val="0"/>
        </w:rPr>
        <w:instrText xml:space="preserve"> </w:instrText>
      </w:r>
      <w:r w:rsidR="00935933">
        <w:rPr>
          <w:rFonts w:ascii="Arial" w:hAnsi="Arial" w:cs="Arial"/>
          <w:bCs w:val="0"/>
          <w:i/>
          <w:iCs w:val="0"/>
        </w:rPr>
        <w:instrText>TOC</w:instrText>
      </w:r>
      <w:r>
        <w:rPr>
          <w:rFonts w:ascii="Arial" w:hAnsi="Arial" w:cs="Arial"/>
          <w:bCs w:val="0"/>
          <w:i/>
          <w:iCs w:val="0"/>
        </w:rPr>
        <w:instrText xml:space="preserve"> \o "1-1" \h \z \u </w:instrText>
      </w:r>
      <w:r>
        <w:rPr>
          <w:rFonts w:ascii="Arial" w:hAnsi="Arial" w:cs="Arial"/>
          <w:bCs w:val="0"/>
          <w:i/>
          <w:iCs w:val="0"/>
        </w:rPr>
        <w:fldChar w:fldCharType="separate"/>
      </w:r>
      <w:hyperlink w:anchor="_Toc388409469" w:history="1">
        <w:r>
          <w:rPr>
            <w:rStyle w:val="Lienhypertexte"/>
            <w:rFonts w:ascii="Arial" w:hAnsi="Arial" w:cs="Arial"/>
            <w:noProof/>
            <w:lang w:val="fr-CH"/>
          </w:rPr>
          <w:t>Remarques générales</w:t>
        </w:r>
        <w:r>
          <w:rPr>
            <w:noProof/>
            <w:webHidden/>
          </w:rPr>
          <w:tab/>
        </w:r>
        <w:r>
          <w:rPr>
            <w:noProof/>
            <w:webHidden/>
          </w:rPr>
          <w:fldChar w:fldCharType="begin"/>
        </w:r>
        <w:r>
          <w:rPr>
            <w:noProof/>
            <w:webHidden/>
          </w:rPr>
          <w:instrText xml:space="preserve"> </w:instrText>
        </w:r>
        <w:r w:rsidR="00935933">
          <w:rPr>
            <w:noProof/>
            <w:webHidden/>
          </w:rPr>
          <w:instrText>PAGEREF</w:instrText>
        </w:r>
        <w:r>
          <w:rPr>
            <w:noProof/>
            <w:webHidden/>
          </w:rPr>
          <w:instrText xml:space="preserve"> _Toc388409469 \h </w:instrText>
        </w:r>
        <w:r>
          <w:rPr>
            <w:noProof/>
            <w:webHidden/>
          </w:rPr>
        </w:r>
        <w:r>
          <w:rPr>
            <w:noProof/>
            <w:webHidden/>
          </w:rPr>
          <w:fldChar w:fldCharType="separate"/>
        </w:r>
        <w:r w:rsidR="00ED4A3C">
          <w:rPr>
            <w:noProof/>
            <w:webHidden/>
          </w:rPr>
          <w:t>3</w:t>
        </w:r>
        <w:r>
          <w:rPr>
            <w:noProof/>
            <w:webHidden/>
          </w:rPr>
          <w:fldChar w:fldCharType="end"/>
        </w:r>
      </w:hyperlink>
    </w:p>
    <w:p w:rsidR="0064566C" w:rsidRDefault="00254B1B">
      <w:pPr>
        <w:pStyle w:val="TM1"/>
        <w:tabs>
          <w:tab w:val="right" w:leader="underscore" w:pos="14560"/>
        </w:tabs>
        <w:rPr>
          <w:rFonts w:ascii="Calibri" w:hAnsi="Calibri"/>
          <w:b w:val="0"/>
          <w:bCs w:val="0"/>
          <w:iCs w:val="0"/>
          <w:noProof/>
          <w:snapToGrid/>
          <w:sz w:val="22"/>
          <w:szCs w:val="22"/>
          <w:lang w:eastAsia="de-CH"/>
        </w:rPr>
      </w:pPr>
      <w:hyperlink w:anchor="_Toc388409470" w:history="1">
        <w:r w:rsidR="0064566C">
          <w:rPr>
            <w:rStyle w:val="Lienhypertexte"/>
            <w:rFonts w:ascii="Arial" w:hAnsi="Arial" w:cs="Arial"/>
            <w:noProof/>
            <w:lang w:val="fr-CH"/>
          </w:rPr>
          <w:t>Rapport explicatif ( excepté chap. 2 « Commentaire »)</w:t>
        </w:r>
        <w:r w:rsidR="0064566C">
          <w:rPr>
            <w:noProof/>
            <w:webHidden/>
          </w:rPr>
          <w:tab/>
        </w:r>
        <w:r w:rsidR="0064566C">
          <w:rPr>
            <w:noProof/>
            <w:webHidden/>
          </w:rPr>
          <w:fldChar w:fldCharType="begin"/>
        </w:r>
        <w:r w:rsidR="0064566C">
          <w:rPr>
            <w:noProof/>
            <w:webHidden/>
          </w:rPr>
          <w:instrText xml:space="preserve"> </w:instrText>
        </w:r>
        <w:r w:rsidR="00935933">
          <w:rPr>
            <w:noProof/>
            <w:webHidden/>
          </w:rPr>
          <w:instrText>PAGEREF</w:instrText>
        </w:r>
        <w:r w:rsidR="0064566C">
          <w:rPr>
            <w:noProof/>
            <w:webHidden/>
          </w:rPr>
          <w:instrText xml:space="preserve"> _Toc388409470 \h </w:instrText>
        </w:r>
        <w:r w:rsidR="0064566C">
          <w:rPr>
            <w:noProof/>
            <w:webHidden/>
          </w:rPr>
        </w:r>
        <w:r w:rsidR="0064566C">
          <w:rPr>
            <w:noProof/>
            <w:webHidden/>
          </w:rPr>
          <w:fldChar w:fldCharType="separate"/>
        </w:r>
        <w:r w:rsidR="00ED4A3C">
          <w:rPr>
            <w:noProof/>
            <w:webHidden/>
          </w:rPr>
          <w:t>6</w:t>
        </w:r>
        <w:r w:rsidR="0064566C">
          <w:rPr>
            <w:noProof/>
            <w:webHidden/>
          </w:rPr>
          <w:fldChar w:fldCharType="end"/>
        </w:r>
      </w:hyperlink>
    </w:p>
    <w:p w:rsidR="0064566C" w:rsidRDefault="00254B1B">
      <w:pPr>
        <w:pStyle w:val="TM1"/>
        <w:tabs>
          <w:tab w:val="right" w:leader="underscore" w:pos="14560"/>
        </w:tabs>
        <w:rPr>
          <w:rFonts w:ascii="Calibri" w:hAnsi="Calibri"/>
          <w:b w:val="0"/>
          <w:bCs w:val="0"/>
          <w:iCs w:val="0"/>
          <w:noProof/>
          <w:snapToGrid/>
          <w:sz w:val="22"/>
          <w:szCs w:val="22"/>
          <w:lang w:eastAsia="de-CH"/>
        </w:rPr>
      </w:pPr>
      <w:hyperlink w:anchor="_Toc388409471" w:history="1">
        <w:r w:rsidR="0064566C">
          <w:rPr>
            <w:rStyle w:val="Lienhypertexte"/>
            <w:rFonts w:ascii="Arial" w:hAnsi="Arial" w:cs="Arial"/>
            <w:noProof/>
            <w:lang w:val="fr-CH"/>
          </w:rPr>
          <w:t>Rapport explicatif : chap. 2 « Commentaire »</w:t>
        </w:r>
        <w:r w:rsidR="0064566C">
          <w:rPr>
            <w:noProof/>
            <w:webHidden/>
          </w:rPr>
          <w:tab/>
        </w:r>
        <w:r w:rsidR="0064566C">
          <w:rPr>
            <w:noProof/>
            <w:webHidden/>
          </w:rPr>
          <w:fldChar w:fldCharType="begin"/>
        </w:r>
        <w:r w:rsidR="0064566C">
          <w:rPr>
            <w:noProof/>
            <w:webHidden/>
          </w:rPr>
          <w:instrText xml:space="preserve"> </w:instrText>
        </w:r>
        <w:r w:rsidR="00935933">
          <w:rPr>
            <w:noProof/>
            <w:webHidden/>
          </w:rPr>
          <w:instrText>PAGEREF</w:instrText>
        </w:r>
        <w:r w:rsidR="0064566C">
          <w:rPr>
            <w:noProof/>
            <w:webHidden/>
          </w:rPr>
          <w:instrText xml:space="preserve"> _Toc388409471 \h </w:instrText>
        </w:r>
        <w:r w:rsidR="0064566C">
          <w:rPr>
            <w:noProof/>
            <w:webHidden/>
          </w:rPr>
        </w:r>
        <w:r w:rsidR="0064566C">
          <w:rPr>
            <w:noProof/>
            <w:webHidden/>
          </w:rPr>
          <w:fldChar w:fldCharType="separate"/>
        </w:r>
        <w:r w:rsidR="00ED4A3C">
          <w:rPr>
            <w:noProof/>
            <w:webHidden/>
          </w:rPr>
          <w:t>9</w:t>
        </w:r>
        <w:r w:rsidR="0064566C">
          <w:rPr>
            <w:noProof/>
            <w:webHidden/>
          </w:rPr>
          <w:fldChar w:fldCharType="end"/>
        </w:r>
      </w:hyperlink>
    </w:p>
    <w:p w:rsidR="0064566C" w:rsidRDefault="00254B1B">
      <w:pPr>
        <w:pStyle w:val="TM1"/>
        <w:tabs>
          <w:tab w:val="right" w:leader="underscore" w:pos="14560"/>
        </w:tabs>
        <w:rPr>
          <w:rFonts w:ascii="Calibri" w:hAnsi="Calibri"/>
          <w:b w:val="0"/>
          <w:bCs w:val="0"/>
          <w:iCs w:val="0"/>
          <w:noProof/>
          <w:snapToGrid/>
          <w:sz w:val="22"/>
          <w:szCs w:val="22"/>
          <w:lang w:eastAsia="de-CH"/>
        </w:rPr>
      </w:pPr>
      <w:hyperlink w:anchor="_Toc388409472" w:history="1">
        <w:r w:rsidR="0064566C">
          <w:rPr>
            <w:rStyle w:val="Lienhypertexte"/>
            <w:rFonts w:ascii="Arial" w:hAnsi="Arial" w:cs="Arial"/>
            <w:noProof/>
            <w:lang w:val="fr-CH"/>
          </w:rPr>
          <w:t>Projet de loi sur les produits du tabac</w:t>
        </w:r>
        <w:r w:rsidR="0064566C">
          <w:rPr>
            <w:noProof/>
            <w:webHidden/>
          </w:rPr>
          <w:tab/>
        </w:r>
        <w:r w:rsidR="0064566C">
          <w:rPr>
            <w:noProof/>
            <w:webHidden/>
          </w:rPr>
          <w:fldChar w:fldCharType="begin"/>
        </w:r>
        <w:r w:rsidR="0064566C">
          <w:rPr>
            <w:noProof/>
            <w:webHidden/>
          </w:rPr>
          <w:instrText xml:space="preserve"> </w:instrText>
        </w:r>
        <w:r w:rsidR="00935933">
          <w:rPr>
            <w:noProof/>
            <w:webHidden/>
          </w:rPr>
          <w:instrText>PAGEREF</w:instrText>
        </w:r>
        <w:r w:rsidR="0064566C">
          <w:rPr>
            <w:noProof/>
            <w:webHidden/>
          </w:rPr>
          <w:instrText xml:space="preserve"> _Toc388409472 \h </w:instrText>
        </w:r>
        <w:r w:rsidR="0064566C">
          <w:rPr>
            <w:noProof/>
            <w:webHidden/>
          </w:rPr>
        </w:r>
        <w:r w:rsidR="0064566C">
          <w:rPr>
            <w:noProof/>
            <w:webHidden/>
          </w:rPr>
          <w:fldChar w:fldCharType="separate"/>
        </w:r>
        <w:r w:rsidR="00ED4A3C">
          <w:rPr>
            <w:noProof/>
            <w:webHidden/>
          </w:rPr>
          <w:t>12</w:t>
        </w:r>
        <w:r w:rsidR="0064566C">
          <w:rPr>
            <w:noProof/>
            <w:webHidden/>
          </w:rPr>
          <w:fldChar w:fldCharType="end"/>
        </w:r>
      </w:hyperlink>
    </w:p>
    <w:p w:rsidR="0064566C" w:rsidRDefault="00254B1B">
      <w:pPr>
        <w:pStyle w:val="TM1"/>
        <w:tabs>
          <w:tab w:val="right" w:leader="underscore" w:pos="14560"/>
        </w:tabs>
        <w:rPr>
          <w:rFonts w:ascii="Calibri" w:hAnsi="Calibri"/>
          <w:b w:val="0"/>
          <w:bCs w:val="0"/>
          <w:iCs w:val="0"/>
          <w:noProof/>
          <w:snapToGrid/>
          <w:sz w:val="22"/>
          <w:szCs w:val="22"/>
          <w:lang w:eastAsia="de-CH"/>
        </w:rPr>
      </w:pPr>
      <w:hyperlink w:anchor="_Toc388409473" w:history="1">
        <w:r w:rsidR="0064566C">
          <w:rPr>
            <w:rStyle w:val="Lienhypertexte"/>
            <w:noProof/>
          </w:rPr>
          <w:t>Notre conclusion</w:t>
        </w:r>
        <w:r w:rsidR="0064566C">
          <w:rPr>
            <w:noProof/>
            <w:webHidden/>
          </w:rPr>
          <w:tab/>
        </w:r>
        <w:r w:rsidR="0064566C">
          <w:rPr>
            <w:noProof/>
            <w:webHidden/>
          </w:rPr>
          <w:fldChar w:fldCharType="begin"/>
        </w:r>
        <w:r w:rsidR="0064566C">
          <w:rPr>
            <w:noProof/>
            <w:webHidden/>
          </w:rPr>
          <w:instrText xml:space="preserve"> </w:instrText>
        </w:r>
        <w:r w:rsidR="00935933">
          <w:rPr>
            <w:noProof/>
            <w:webHidden/>
          </w:rPr>
          <w:instrText>PAGEREF</w:instrText>
        </w:r>
        <w:r w:rsidR="0064566C">
          <w:rPr>
            <w:noProof/>
            <w:webHidden/>
          </w:rPr>
          <w:instrText xml:space="preserve"> _Toc388409473 \h </w:instrText>
        </w:r>
        <w:r w:rsidR="0064566C">
          <w:rPr>
            <w:noProof/>
            <w:webHidden/>
          </w:rPr>
        </w:r>
        <w:r w:rsidR="0064566C">
          <w:rPr>
            <w:noProof/>
            <w:webHidden/>
          </w:rPr>
          <w:fldChar w:fldCharType="separate"/>
        </w:r>
        <w:r w:rsidR="00ED4A3C">
          <w:rPr>
            <w:noProof/>
            <w:webHidden/>
          </w:rPr>
          <w:t>17</w:t>
        </w:r>
        <w:r w:rsidR="0064566C">
          <w:rPr>
            <w:noProof/>
            <w:webHidden/>
          </w:rPr>
          <w:fldChar w:fldCharType="end"/>
        </w:r>
      </w:hyperlink>
    </w:p>
    <w:p w:rsidR="0064566C" w:rsidRDefault="00254B1B">
      <w:pPr>
        <w:pStyle w:val="TM1"/>
        <w:tabs>
          <w:tab w:val="right" w:leader="underscore" w:pos="14560"/>
        </w:tabs>
        <w:rPr>
          <w:rFonts w:ascii="Calibri" w:hAnsi="Calibri"/>
          <w:b w:val="0"/>
          <w:bCs w:val="0"/>
          <w:iCs w:val="0"/>
          <w:noProof/>
          <w:snapToGrid/>
          <w:sz w:val="22"/>
          <w:szCs w:val="22"/>
          <w:lang w:eastAsia="de-CH"/>
        </w:rPr>
      </w:pPr>
      <w:hyperlink w:anchor="_Toc388409474" w:history="1">
        <w:r w:rsidR="0064566C">
          <w:rPr>
            <w:rStyle w:val="Lienhypertexte"/>
            <w:noProof/>
          </w:rPr>
          <w:t>Annexe: Guide pour insérer de nouvelles lignes</w:t>
        </w:r>
        <w:r w:rsidR="0064566C">
          <w:rPr>
            <w:noProof/>
            <w:webHidden/>
          </w:rPr>
          <w:tab/>
        </w:r>
        <w:r w:rsidR="0064566C">
          <w:rPr>
            <w:noProof/>
            <w:webHidden/>
          </w:rPr>
          <w:fldChar w:fldCharType="begin"/>
        </w:r>
        <w:r w:rsidR="0064566C">
          <w:rPr>
            <w:noProof/>
            <w:webHidden/>
          </w:rPr>
          <w:instrText xml:space="preserve"> </w:instrText>
        </w:r>
        <w:r w:rsidR="00935933">
          <w:rPr>
            <w:noProof/>
            <w:webHidden/>
          </w:rPr>
          <w:instrText>PAGEREF</w:instrText>
        </w:r>
        <w:r w:rsidR="0064566C">
          <w:rPr>
            <w:noProof/>
            <w:webHidden/>
          </w:rPr>
          <w:instrText xml:space="preserve"> _Toc388409474 \h </w:instrText>
        </w:r>
        <w:r w:rsidR="0064566C">
          <w:rPr>
            <w:noProof/>
            <w:webHidden/>
          </w:rPr>
        </w:r>
        <w:r w:rsidR="0064566C">
          <w:rPr>
            <w:noProof/>
            <w:webHidden/>
          </w:rPr>
          <w:fldChar w:fldCharType="separate"/>
        </w:r>
        <w:r w:rsidR="00ED4A3C">
          <w:rPr>
            <w:noProof/>
            <w:webHidden/>
          </w:rPr>
          <w:t>18</w:t>
        </w:r>
        <w:r w:rsidR="0064566C">
          <w:rPr>
            <w:noProof/>
            <w:webHidden/>
          </w:rPr>
          <w:fldChar w:fldCharType="end"/>
        </w:r>
      </w:hyperlink>
    </w:p>
    <w:p w:rsidR="0064566C" w:rsidRDefault="0064566C">
      <w:pPr>
        <w:rPr>
          <w:rFonts w:cs="Arial"/>
          <w:szCs w:val="24"/>
        </w:rPr>
      </w:pPr>
      <w:r>
        <w:rPr>
          <w:rFonts w:cs="Arial"/>
          <w:bCs/>
          <w:i/>
          <w:iCs/>
        </w:rPr>
        <w:fldChar w:fldCharType="end"/>
      </w:r>
    </w:p>
    <w:p w:rsidR="0064566C" w:rsidRDefault="0064566C">
      <w:pPr>
        <w:rPr>
          <w:rFonts w:cs="Arial"/>
          <w:szCs w:val="24"/>
        </w:rPr>
      </w:pPr>
      <w:r>
        <w:rPr>
          <w:rFonts w:cs="Arial"/>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13336"/>
      </w:tblGrid>
      <w:tr w:rsidR="0064566C">
        <w:tc>
          <w:tcPr>
            <w:tcW w:w="14786" w:type="dxa"/>
            <w:gridSpan w:val="2"/>
            <w:shd w:val="clear" w:color="auto" w:fill="FFFF00"/>
          </w:tcPr>
          <w:p w:rsidR="0064566C" w:rsidRPr="00172E79" w:rsidRDefault="0064566C">
            <w:pPr>
              <w:pStyle w:val="Titre1"/>
              <w:rPr>
                <w:rFonts w:ascii="Arial" w:hAnsi="Arial" w:cs="Arial"/>
                <w:szCs w:val="24"/>
                <w:lang w:val="de-CH"/>
              </w:rPr>
            </w:pPr>
            <w:bookmarkStart w:id="11" w:name="_Toc388409469"/>
            <w:r>
              <w:rPr>
                <w:rFonts w:ascii="Arial" w:hAnsi="Arial" w:cs="Arial"/>
                <w:szCs w:val="24"/>
                <w:lang w:val="fr-CH"/>
              </w:rPr>
              <w:t>Remarques générales</w:t>
            </w:r>
            <w:bookmarkEnd w:id="11"/>
          </w:p>
        </w:tc>
      </w:tr>
      <w:tr w:rsidR="0064566C">
        <w:tc>
          <w:tcPr>
            <w:tcW w:w="1450" w:type="dxa"/>
          </w:tcPr>
          <w:p w:rsidR="0064566C" w:rsidRDefault="0064566C">
            <w:pPr>
              <w:spacing w:before="60" w:after="60"/>
              <w:rPr>
                <w:rFonts w:cs="Arial"/>
                <w:szCs w:val="24"/>
              </w:rPr>
            </w:pPr>
            <w:r>
              <w:rPr>
                <w:rFonts w:cs="Arial"/>
                <w:b/>
                <w:szCs w:val="24"/>
                <w:lang w:val="fr-CH"/>
              </w:rPr>
              <w:t>nom/société</w:t>
            </w:r>
          </w:p>
        </w:tc>
        <w:tc>
          <w:tcPr>
            <w:tcW w:w="13336" w:type="dxa"/>
          </w:tcPr>
          <w:p w:rsidR="0064566C" w:rsidRDefault="0064566C">
            <w:pPr>
              <w:spacing w:before="60" w:after="60"/>
              <w:rPr>
                <w:rFonts w:cs="Arial"/>
                <w:szCs w:val="24"/>
              </w:rPr>
            </w:pPr>
            <w:r>
              <w:rPr>
                <w:rFonts w:cs="Arial"/>
                <w:b/>
                <w:szCs w:val="24"/>
                <w:lang w:val="fr-CH"/>
              </w:rPr>
              <w:t>remarque / suggestion :</w:t>
            </w:r>
          </w:p>
        </w:tc>
      </w:tr>
      <w:tr w:rsidR="0064566C" w:rsidRPr="00254B1B">
        <w:tc>
          <w:tcPr>
            <w:tcW w:w="1450" w:type="dxa"/>
          </w:tcPr>
          <w:p w:rsidR="00CB218F" w:rsidRPr="00CB218F" w:rsidRDefault="008B6C89">
            <w:pPr>
              <w:spacing w:before="120" w:after="120"/>
              <w:rPr>
                <w:rFonts w:cs="Arial"/>
                <w:szCs w:val="24"/>
                <w:lang w:val="fr-CH"/>
              </w:rPr>
            </w:pPr>
            <w:r>
              <w:rPr>
                <w:rFonts w:cs="Arial"/>
                <w:szCs w:val="24"/>
                <w:lang w:val="fr-CH"/>
              </w:rPr>
              <w:t>…</w:t>
            </w:r>
          </w:p>
        </w:tc>
        <w:tc>
          <w:tcPr>
            <w:tcW w:w="13336" w:type="dxa"/>
          </w:tcPr>
          <w:p w:rsidR="00CB218F" w:rsidRPr="00CB218F" w:rsidRDefault="00CB218F" w:rsidP="00CB218F">
            <w:pPr>
              <w:autoSpaceDE w:val="0"/>
              <w:autoSpaceDN w:val="0"/>
              <w:adjustRightInd w:val="0"/>
              <w:spacing w:after="120" w:line="240" w:lineRule="auto"/>
              <w:jc w:val="both"/>
              <w:rPr>
                <w:b/>
                <w:lang w:val="fr-CH"/>
              </w:rPr>
            </w:pPr>
            <w:r w:rsidRPr="00CB218F">
              <w:rPr>
                <w:b/>
                <w:lang w:val="fr-CH"/>
              </w:rPr>
              <w:t>Remarques générales</w:t>
            </w:r>
          </w:p>
          <w:p w:rsidR="00CB218F" w:rsidRDefault="00CB218F" w:rsidP="00891C58">
            <w:pPr>
              <w:spacing w:after="120"/>
              <w:jc w:val="both"/>
              <w:rPr>
                <w:rFonts w:cs="TimesNewRomanPSMT"/>
                <w:lang w:val="fr-CH"/>
              </w:rPr>
            </w:pPr>
            <w:r w:rsidRPr="00CB218F">
              <w:rPr>
                <w:lang w:val="fr-CH"/>
              </w:rPr>
              <w:t>L’article premier de l’avant-projet de loi sur les produits du tabac (AP-LPTab) mis en consultation affirme que cette loi a « </w:t>
            </w:r>
            <w:r w:rsidRPr="00CB218F">
              <w:rPr>
                <w:i/>
                <w:lang w:val="fr-CH"/>
              </w:rPr>
              <w:t>pour but de protéger l'être humain contre les effets nocifs liés à la consommation des produits du tabac et des cigarettes électroniques</w:t>
            </w:r>
            <w:r w:rsidRPr="00CB218F">
              <w:rPr>
                <w:lang w:val="fr-CH"/>
              </w:rPr>
              <w:t> ». L’article 4 AP-LPTab mentionne aussi son objectif de protéger le consommateur contre la tromperie, étant précisé à l’al. 2 que les produits « </w:t>
            </w:r>
            <w:r w:rsidRPr="00CB218F">
              <w:rPr>
                <w:i/>
                <w:lang w:val="fr-CH"/>
              </w:rPr>
              <w:t>s</w:t>
            </w:r>
            <w:r w:rsidRPr="00CB218F">
              <w:rPr>
                <w:lang w:val="fr-CH"/>
              </w:rPr>
              <w:t>on</w:t>
            </w:r>
            <w:r w:rsidRPr="00CB218F">
              <w:rPr>
                <w:i/>
                <w:lang w:val="fr-CH"/>
              </w:rPr>
              <w:t xml:space="preserve">t réputés trompeurs lorsqu’ils peuvent induire en erreur le consommateur sur </w:t>
            </w:r>
            <w:r w:rsidRPr="00891C58">
              <w:rPr>
                <w:rFonts w:cs="TimesNewRomanPSMT"/>
                <w:lang w:val="fr-CH"/>
              </w:rPr>
              <w:t>les</w:t>
            </w:r>
            <w:r w:rsidRPr="00CB218F">
              <w:rPr>
                <w:i/>
                <w:lang w:val="fr-CH"/>
              </w:rPr>
              <w:t xml:space="preserve"> effets sur la santé, les risques ou les émissions du produit</w:t>
            </w:r>
            <w:r w:rsidR="00553BB2">
              <w:rPr>
                <w:i/>
                <w:lang w:val="fr-CH"/>
              </w:rPr>
              <w:t> </w:t>
            </w:r>
            <w:r w:rsidRPr="00CB218F">
              <w:rPr>
                <w:rFonts w:cs="TimesNewRomanPSMT"/>
                <w:lang w:val="fr-CH"/>
              </w:rPr>
              <w:t>». Conformément aux dernières connais</w:t>
            </w:r>
            <w:r w:rsidR="00AE1CCD">
              <w:rPr>
                <w:rFonts w:cs="TimesNewRomanPSMT"/>
                <w:lang w:val="fr-CH"/>
              </w:rPr>
              <w:t>sances sur la nocivité du tabac</w:t>
            </w:r>
            <w:r w:rsidRPr="00CB218F">
              <w:rPr>
                <w:rFonts w:cs="TimesNewRomanPSMT"/>
                <w:lang w:val="fr-CH"/>
              </w:rPr>
              <w:t xml:space="preserve"> et sur les mesures à prendre afin d’en limiter les effets en protégeant les droits des fumeurs </w:t>
            </w:r>
            <w:r w:rsidR="00D21A47">
              <w:rPr>
                <w:rFonts w:cs="TimesNewRomanPSMT"/>
                <w:lang w:val="fr-CH"/>
              </w:rPr>
              <w:t>et</w:t>
            </w:r>
            <w:r w:rsidRPr="00CB218F">
              <w:rPr>
                <w:rFonts w:cs="TimesNewRomanPSMT"/>
                <w:lang w:val="fr-CH"/>
              </w:rPr>
              <w:t xml:space="preserve"> des non-fumeurs, en particulier les enfants et les jeunes, l’AP-LPTab</w:t>
            </w:r>
            <w:r w:rsidR="00553BB2">
              <w:rPr>
                <w:rFonts w:cs="TimesNewRomanPSMT"/>
                <w:lang w:val="fr-CH"/>
              </w:rPr>
              <w:t>,</w:t>
            </w:r>
            <w:r w:rsidRPr="00CB218F">
              <w:rPr>
                <w:rFonts w:cs="TimesNewRomanPSMT"/>
                <w:lang w:val="fr-CH"/>
              </w:rPr>
              <w:t xml:space="preserve"> tel que mis en consultation</w:t>
            </w:r>
            <w:r w:rsidR="00553BB2">
              <w:rPr>
                <w:rFonts w:cs="TimesNewRomanPSMT"/>
                <w:lang w:val="fr-CH"/>
              </w:rPr>
              <w:t>,</w:t>
            </w:r>
            <w:r w:rsidRPr="00CB218F">
              <w:rPr>
                <w:rFonts w:cs="TimesNewRomanPSMT"/>
                <w:lang w:val="fr-CH"/>
              </w:rPr>
              <w:t xml:space="preserve"> ne permet pas d’atteindre l’objectif fixé en son article premier</w:t>
            </w:r>
            <w:r>
              <w:rPr>
                <w:rFonts w:cs="TimesNewRomanPSMT"/>
                <w:lang w:val="fr-CH"/>
              </w:rPr>
              <w:t>.</w:t>
            </w:r>
          </w:p>
          <w:p w:rsidR="00EA1AF1" w:rsidRDefault="00CB218F" w:rsidP="00891C58">
            <w:pPr>
              <w:spacing w:after="120"/>
              <w:jc w:val="both"/>
              <w:rPr>
                <w:rFonts w:cs="TimesNewRomanPSMT"/>
                <w:lang w:val="fr-CH"/>
              </w:rPr>
            </w:pPr>
            <w:r w:rsidRPr="00CB218F">
              <w:rPr>
                <w:rFonts w:cs="TimesNewRomanPSMT"/>
                <w:lang w:val="fr-CH"/>
              </w:rPr>
              <w:t>Ce projet de</w:t>
            </w:r>
            <w:r w:rsidRPr="00CB218F">
              <w:rPr>
                <w:lang w:val="fr-CH"/>
              </w:rPr>
              <w:t xml:space="preserve"> loi vise en réalité à protéger l’industrie du tabac et les secteurs économiques qui en dépendent, au mépris de la santé de la population, de sa volonté d’avoir une législation plus restrictive en matière de contrôle du tabac et des engagements de la Suisse au niveau international pour la réalisation des objectifs de développement durable (agenda 2030)</w:t>
            </w:r>
            <w:r>
              <w:rPr>
                <w:lang w:val="fr-CH"/>
              </w:rPr>
              <w:t>. L</w:t>
            </w:r>
            <w:r w:rsidRPr="00CB218F">
              <w:rPr>
                <w:rFonts w:cs="TimesNewRomanPSMT"/>
                <w:lang w:val="fr-CH"/>
              </w:rPr>
              <w:t xml:space="preserve">es chiffres récents mettent en lumière que la majorité des Suisses souhaitent une </w:t>
            </w:r>
            <w:hyperlink r:id="rId14" w:history="1">
              <w:r w:rsidRPr="00CB218F">
                <w:rPr>
                  <w:rStyle w:val="Lienhypertexte"/>
                  <w:rFonts w:cs="TimesNewRomanPSMT"/>
                  <w:lang w:val="fr-CH"/>
                </w:rPr>
                <w:t>interdiction de la publicité du tabac</w:t>
              </w:r>
            </w:hyperlink>
            <w:r w:rsidRPr="00CB218F">
              <w:rPr>
                <w:rFonts w:cs="TimesNewRomanPSMT"/>
                <w:lang w:val="fr-CH"/>
              </w:rPr>
              <w:t xml:space="preserve"> et sont favorables à une politique restrictive en matière de contrôle du tabac</w:t>
            </w:r>
            <w:r w:rsidR="00076A3B">
              <w:rPr>
                <w:rFonts w:cs="TimesNewRomanPSMT"/>
                <w:lang w:val="fr-CH"/>
              </w:rPr>
              <w:t xml:space="preserve"> (</w:t>
            </w:r>
            <w:r w:rsidR="00076A3B" w:rsidRPr="00076A3B">
              <w:rPr>
                <w:rFonts w:cs="TimesNewRomanPSMT"/>
                <w:lang w:val="fr-CH"/>
              </w:rPr>
              <w:t>Kuendig H., Notari L., Gmel G. (2016). Publicité, prix et mises en garde</w:t>
            </w:r>
            <w:r w:rsidR="00553BB2">
              <w:rPr>
                <w:rFonts w:cs="TimesNewRomanPSMT"/>
                <w:lang w:val="fr-CH"/>
              </w:rPr>
              <w:t> </w:t>
            </w:r>
            <w:r w:rsidR="00076A3B" w:rsidRPr="00076A3B">
              <w:rPr>
                <w:rFonts w:cs="TimesNewRomanPSMT"/>
                <w:lang w:val="fr-CH"/>
              </w:rPr>
              <w:t xml:space="preserve">: opinions et vécus relatifs à des législations sur les produits du tabac en 2015-2016 - </w:t>
            </w:r>
            <w:hyperlink r:id="rId15" w:history="1">
              <w:r w:rsidR="00076A3B" w:rsidRPr="00076A3B">
                <w:rPr>
                  <w:rStyle w:val="Lienhypertexte"/>
                  <w:rFonts w:cs="TimesNewRomanPSMT"/>
                  <w:lang w:val="fr-CH"/>
                </w:rPr>
                <w:t>Analyse des données du Monitorage suisse des addictions</w:t>
              </w:r>
            </w:hyperlink>
            <w:r w:rsidR="00076A3B" w:rsidRPr="00076A3B">
              <w:rPr>
                <w:rFonts w:cs="TimesNewRomanPSMT"/>
                <w:lang w:val="fr-CH"/>
              </w:rPr>
              <w:t xml:space="preserve">, Addiction </w:t>
            </w:r>
            <w:r w:rsidR="00076A3B">
              <w:rPr>
                <w:rFonts w:cs="TimesNewRomanPSMT"/>
                <w:lang w:val="fr-CH"/>
              </w:rPr>
              <w:t>Suisse, Lausanne)</w:t>
            </w:r>
            <w:r w:rsidRPr="00CB218F">
              <w:rPr>
                <w:rFonts w:cs="TimesNewRomanPSMT"/>
                <w:lang w:val="fr-CH"/>
              </w:rPr>
              <w:t xml:space="preserve">. </w:t>
            </w:r>
            <w:r w:rsidRPr="00CB218F">
              <w:rPr>
                <w:rFonts w:cs="TimesNewRomanPSMT"/>
                <w:i/>
                <w:lang w:val="fr-CH"/>
              </w:rPr>
              <w:t>A contrario</w:t>
            </w:r>
            <w:r w:rsidRPr="00CB218F">
              <w:rPr>
                <w:rFonts w:cs="TimesNewRomanPSMT"/>
                <w:lang w:val="fr-CH"/>
              </w:rPr>
              <w:t xml:space="preserve">, l’Assemblée fédérale s’est prononcée pour une plus grande libéralisation du marché et contre toute nouvelle limitation de la publicité en reprenant quasiment mot pour mot la position de l’industrie du tabac (Voir par exemple le discours d’ouverture des </w:t>
            </w:r>
            <w:r w:rsidRPr="00891C58">
              <w:rPr>
                <w:rFonts w:cs="Arial"/>
                <w:color w:val="000000"/>
                <w:lang w:val="fr-CH" w:eastAsia="de-DE"/>
              </w:rPr>
              <w:t>débats</w:t>
            </w:r>
            <w:r w:rsidRPr="00CB218F">
              <w:rPr>
                <w:rFonts w:cs="TimesNewRomanPSMT"/>
                <w:lang w:val="fr-CH"/>
              </w:rPr>
              <w:t xml:space="preserve"> au Conseil des Etats par </w:t>
            </w:r>
            <w:hyperlink r:id="rId16" w:history="1">
              <w:r w:rsidRPr="00CB218F">
                <w:rPr>
                  <w:rStyle w:val="Lienhypertexte"/>
                  <w:rFonts w:cs="TimesNewRomanPSMT"/>
                  <w:lang w:val="fr-CH"/>
                </w:rPr>
                <w:t>Josef Dittli</w:t>
              </w:r>
            </w:hyperlink>
            <w:r w:rsidRPr="00CB218F">
              <w:rPr>
                <w:rFonts w:cs="TimesNewRomanPSMT"/>
                <w:lang w:val="fr-CH"/>
              </w:rPr>
              <w:t xml:space="preserve"> et </w:t>
            </w:r>
            <w:r w:rsidRPr="00CB218F">
              <w:rPr>
                <w:lang w:val="fr-CH"/>
              </w:rPr>
              <w:t xml:space="preserve">la position officielle de </w:t>
            </w:r>
            <w:hyperlink r:id="rId17" w:history="1">
              <w:r w:rsidRPr="00CB218F">
                <w:rPr>
                  <w:rStyle w:val="Lienhypertexte"/>
                  <w:lang w:val="fr-CH"/>
                </w:rPr>
                <w:t>Swiss Cigarette</w:t>
              </w:r>
            </w:hyperlink>
            <w:r w:rsidRPr="00CB218F">
              <w:rPr>
                <w:lang w:val="fr-CH"/>
              </w:rPr>
              <w:t>)</w:t>
            </w:r>
            <w:r w:rsidRPr="00CB218F">
              <w:rPr>
                <w:rFonts w:cs="TimesNewRomanPSMT"/>
                <w:lang w:val="fr-CH"/>
              </w:rPr>
              <w:t>.</w:t>
            </w:r>
          </w:p>
          <w:p w:rsidR="00076A3B" w:rsidRDefault="00F665CB" w:rsidP="00F665CB">
            <w:pPr>
              <w:spacing w:after="120"/>
              <w:jc w:val="both"/>
              <w:rPr>
                <w:rFonts w:cs="TimesNewRomanPSMT"/>
                <w:b/>
                <w:lang w:val="fr-CH"/>
              </w:rPr>
            </w:pPr>
            <w:r w:rsidRPr="00786839">
              <w:rPr>
                <w:lang w:val="fr-CH"/>
              </w:rPr>
              <w:t>L’AP-LPTab s’avère en contradiction avec une politique de santé basée sur les preuves scientifiques aussi bien sous l’angle médical que de la santé publique.</w:t>
            </w:r>
            <w:r>
              <w:rPr>
                <w:lang w:val="fr-CH"/>
              </w:rPr>
              <w:t xml:space="preserve"> </w:t>
            </w:r>
            <w:r w:rsidR="00314B7F" w:rsidRPr="00314B7F">
              <w:rPr>
                <w:rFonts w:cs="TimesNewRomanPSMT"/>
                <w:lang w:val="fr-CH"/>
              </w:rPr>
              <w:t xml:space="preserve">Une telle politique </w:t>
            </w:r>
            <w:r w:rsidR="00314B7F">
              <w:rPr>
                <w:rFonts w:cs="TimesNewRomanPSMT"/>
                <w:lang w:val="fr-CH"/>
              </w:rPr>
              <w:t xml:space="preserve">se trouve en contradiction avec l’état de la science. La justifier est tout aussi inacceptable que </w:t>
            </w:r>
            <w:r w:rsidR="00EA1AF1">
              <w:rPr>
                <w:rFonts w:cs="TimesNewRomanPSMT"/>
                <w:lang w:val="fr-CH"/>
              </w:rPr>
              <w:t xml:space="preserve">de </w:t>
            </w:r>
            <w:r w:rsidR="00314B7F">
              <w:rPr>
                <w:rFonts w:cs="TimesNewRomanPSMT"/>
                <w:lang w:val="fr-CH"/>
              </w:rPr>
              <w:t>n</w:t>
            </w:r>
            <w:r w:rsidR="00EA1AF1">
              <w:rPr>
                <w:rFonts w:cs="TimesNewRomanPSMT"/>
                <w:lang w:val="fr-CH"/>
              </w:rPr>
              <w:t>ier le réchauffement climatique.</w:t>
            </w:r>
            <w:r>
              <w:rPr>
                <w:lang w:val="fr-CH"/>
              </w:rPr>
              <w:t xml:space="preserve"> </w:t>
            </w:r>
            <w:r w:rsidR="00076A3B" w:rsidRPr="00076A3B">
              <w:rPr>
                <w:rFonts w:cs="TimesNewRomanPSMT"/>
                <w:b/>
                <w:lang w:val="fr-CH"/>
              </w:rPr>
              <w:t xml:space="preserve">Au vu de l’impossibilité </w:t>
            </w:r>
            <w:r w:rsidR="00076A3B">
              <w:rPr>
                <w:rFonts w:cs="TimesNewRomanPSMT"/>
                <w:b/>
                <w:lang w:val="fr-CH"/>
              </w:rPr>
              <w:t xml:space="preserve">matérielle </w:t>
            </w:r>
            <w:r w:rsidR="00076A3B" w:rsidRPr="00076A3B">
              <w:rPr>
                <w:rFonts w:cs="TimesNewRomanPSMT"/>
                <w:b/>
                <w:lang w:val="fr-CH"/>
              </w:rPr>
              <w:t>de pouvoir atteindre l’objectif annoncé et de la trom</w:t>
            </w:r>
            <w:r w:rsidR="00076A3B">
              <w:rPr>
                <w:rFonts w:cs="TimesNewRomanPSMT"/>
                <w:b/>
                <w:lang w:val="fr-CH"/>
              </w:rPr>
              <w:t>perie du public que cela engendr</w:t>
            </w:r>
            <w:r w:rsidR="00076A3B" w:rsidRPr="00076A3B">
              <w:rPr>
                <w:rFonts w:cs="TimesNewRomanPSMT"/>
                <w:b/>
                <w:lang w:val="fr-CH"/>
              </w:rPr>
              <w:t>e,</w:t>
            </w:r>
            <w:r w:rsidR="00CB218F" w:rsidRPr="00076A3B">
              <w:rPr>
                <w:rFonts w:cs="TimesNewRomanPSMT"/>
                <w:b/>
                <w:lang w:val="fr-CH"/>
              </w:rPr>
              <w:t xml:space="preserve"> </w:t>
            </w:r>
            <w:r w:rsidR="00076A3B" w:rsidRPr="00076A3B">
              <w:rPr>
                <w:rFonts w:cs="TimesNewRomanPSMT"/>
                <w:b/>
                <w:lang w:val="fr-CH"/>
              </w:rPr>
              <w:t>i</w:t>
            </w:r>
            <w:r w:rsidR="00CB218F" w:rsidRPr="00076A3B">
              <w:rPr>
                <w:rFonts w:cs="TimesNewRomanPSMT"/>
                <w:b/>
                <w:lang w:val="fr-CH"/>
              </w:rPr>
              <w:t>l n’y</w:t>
            </w:r>
            <w:r w:rsidR="00D15EF5" w:rsidRPr="00076A3B">
              <w:rPr>
                <w:rFonts w:cs="TimesNewRomanPSMT"/>
                <w:b/>
                <w:lang w:val="fr-CH"/>
              </w:rPr>
              <w:t xml:space="preserve"> a pas d’autre option q</w:t>
            </w:r>
            <w:r w:rsidR="00D15EF5">
              <w:rPr>
                <w:rFonts w:cs="TimesNewRomanPSMT"/>
                <w:b/>
                <w:lang w:val="fr-CH"/>
              </w:rPr>
              <w:t xml:space="preserve">ue de </w:t>
            </w:r>
            <w:r w:rsidR="00CB218F" w:rsidRPr="00CB218F">
              <w:rPr>
                <w:rFonts w:cs="TimesNewRomanPSMT"/>
                <w:b/>
                <w:lang w:val="fr-CH"/>
              </w:rPr>
              <w:t>rejeter</w:t>
            </w:r>
            <w:r w:rsidR="00D15EF5">
              <w:rPr>
                <w:rFonts w:cs="TimesNewRomanPSMT"/>
                <w:b/>
                <w:lang w:val="fr-CH"/>
              </w:rPr>
              <w:t xml:space="preserve"> cet avant-projet de loi sur les produits du tabac</w:t>
            </w:r>
            <w:r w:rsidR="00CB218F" w:rsidRPr="00CB218F">
              <w:rPr>
                <w:rFonts w:cs="TimesNewRomanPSMT"/>
                <w:b/>
                <w:lang w:val="fr-CH"/>
              </w:rPr>
              <w:t>.</w:t>
            </w:r>
          </w:p>
          <w:p w:rsidR="00891C58" w:rsidRPr="00D21A47" w:rsidRDefault="00891C58" w:rsidP="00076A3B">
            <w:pPr>
              <w:spacing w:line="240" w:lineRule="auto"/>
              <w:rPr>
                <w:rFonts w:cs="TimesNewRomanPSMT"/>
                <w:lang w:val="fr-CH"/>
              </w:rPr>
            </w:pPr>
          </w:p>
        </w:tc>
      </w:tr>
      <w:tr w:rsidR="0064566C" w:rsidRPr="00254B1B">
        <w:tc>
          <w:tcPr>
            <w:tcW w:w="1450" w:type="dxa"/>
          </w:tcPr>
          <w:p w:rsidR="0064566C" w:rsidRPr="00CB218F" w:rsidRDefault="008B6C89" w:rsidP="00CB218F">
            <w:pPr>
              <w:spacing w:before="120" w:after="120"/>
              <w:rPr>
                <w:rFonts w:cs="Arial"/>
                <w:szCs w:val="24"/>
                <w:lang w:val="fr-CH"/>
              </w:rPr>
            </w:pPr>
            <w:r>
              <w:rPr>
                <w:rFonts w:cs="Arial"/>
                <w:szCs w:val="24"/>
                <w:lang w:val="fr-CH"/>
              </w:rPr>
              <w:t>…</w:t>
            </w:r>
          </w:p>
        </w:tc>
        <w:tc>
          <w:tcPr>
            <w:tcW w:w="13336" w:type="dxa"/>
          </w:tcPr>
          <w:p w:rsidR="00CB218F" w:rsidRPr="00CB218F" w:rsidRDefault="00CB218F" w:rsidP="00CB218F">
            <w:pPr>
              <w:autoSpaceDE w:val="0"/>
              <w:autoSpaceDN w:val="0"/>
              <w:adjustRightInd w:val="0"/>
              <w:spacing w:after="120" w:line="240" w:lineRule="auto"/>
              <w:rPr>
                <w:rFonts w:cs="Arial"/>
                <w:b/>
                <w:color w:val="000000"/>
                <w:lang w:val="fr-CH" w:eastAsia="de-DE"/>
              </w:rPr>
            </w:pPr>
            <w:r w:rsidRPr="00CB218F">
              <w:rPr>
                <w:rFonts w:cs="Arial"/>
                <w:b/>
                <w:color w:val="000000"/>
                <w:lang w:val="fr-CH" w:eastAsia="de-DE"/>
              </w:rPr>
              <w:t>La nocivité du taba</w:t>
            </w:r>
            <w:r w:rsidR="00D15EF5">
              <w:rPr>
                <w:rFonts w:cs="Arial"/>
                <w:b/>
                <w:color w:val="000000"/>
                <w:lang w:val="fr-CH" w:eastAsia="de-DE"/>
              </w:rPr>
              <w:t>c et la vulnérabilité des jeune</w:t>
            </w:r>
            <w:r w:rsidRPr="00CB218F">
              <w:rPr>
                <w:rFonts w:cs="Arial"/>
                <w:b/>
                <w:color w:val="000000"/>
                <w:lang w:val="fr-CH" w:eastAsia="de-DE"/>
              </w:rPr>
              <w:t>s et des défavorisés face à elle</w:t>
            </w:r>
          </w:p>
          <w:p w:rsidR="00CB218F" w:rsidRPr="00CB218F" w:rsidRDefault="00CB218F" w:rsidP="00891C58">
            <w:pPr>
              <w:spacing w:after="120"/>
              <w:jc w:val="both"/>
              <w:rPr>
                <w:rFonts w:cs="Arial"/>
                <w:color w:val="000000"/>
                <w:lang w:val="fr-CH" w:eastAsia="de-DE"/>
              </w:rPr>
            </w:pPr>
            <w:r w:rsidRPr="00CB218F">
              <w:rPr>
                <w:rFonts w:cs="Arial"/>
                <w:color w:val="000000"/>
                <w:lang w:val="fr-CH" w:eastAsia="de-DE"/>
              </w:rPr>
              <w:t>Dans son rapport relatif à l’AP-LPTab, le Conseil Fédéral présente en quelques mots les problèmes liés aux produits du tabac</w:t>
            </w:r>
            <w:r w:rsidR="004006F0">
              <w:rPr>
                <w:rFonts w:cs="Arial"/>
                <w:color w:val="000000"/>
                <w:lang w:val="fr-CH" w:eastAsia="de-DE"/>
              </w:rPr>
              <w:t> </w:t>
            </w:r>
            <w:r w:rsidRPr="00CB218F">
              <w:rPr>
                <w:rFonts w:cs="Arial"/>
                <w:color w:val="000000"/>
                <w:lang w:val="fr-CH" w:eastAsia="de-DE"/>
              </w:rPr>
              <w:t xml:space="preserve">: ce sont les seuls biens de consommation qui ne peuvent pas être consommés sans risque pour la santé, avec un </w:t>
            </w:r>
            <w:r w:rsidRPr="00891C58">
              <w:rPr>
                <w:color w:val="000000"/>
                <w:lang w:val="fr-CH" w:eastAsia="de-DE"/>
              </w:rPr>
              <w:t>taux</w:t>
            </w:r>
            <w:r w:rsidRPr="00CB218F">
              <w:rPr>
                <w:rFonts w:cs="Arial"/>
                <w:color w:val="000000"/>
                <w:lang w:val="fr-CH" w:eastAsia="de-DE"/>
              </w:rPr>
              <w:t xml:space="preserve"> de mortalité précoce de plus de 50%, et qui peuvent rapidement entraîner une forte dépendance. Une troisième particularité tient au fait que la moitié des fumeuses et des fumeurs aimeraient cesser de consommer des produits du tabac. Le Conseil fédéral mentionne également que la proportion de consommateurs dans la population n’a pas diminué depuis 2011 et que la consommation de tabac en Suisse cause chaque année 9’500 décès sur un total de 65'000, soi</w:t>
            </w:r>
            <w:r w:rsidR="00D21A47">
              <w:rPr>
                <w:rFonts w:cs="Arial"/>
                <w:color w:val="000000"/>
                <w:lang w:val="fr-CH" w:eastAsia="de-DE"/>
              </w:rPr>
              <w:t>t environ 1 sur 6 (en comparaison</w:t>
            </w:r>
            <w:r w:rsidRPr="00CB218F">
              <w:rPr>
                <w:rFonts w:cs="Arial"/>
                <w:color w:val="000000"/>
                <w:lang w:val="fr-CH" w:eastAsia="de-DE"/>
              </w:rPr>
              <w:t>, les accidents de la route ont causé 216 victimes dans notre pays en 201</w:t>
            </w:r>
            <w:r w:rsidRPr="005468FC">
              <w:rPr>
                <w:rFonts w:cs="Arial"/>
                <w:color w:val="000000"/>
                <w:lang w:val="fr-CH" w:eastAsia="de-DE"/>
              </w:rPr>
              <w:t xml:space="preserve">6). Enfin, il évoque les dégâts économiques du tabagisme </w:t>
            </w:r>
            <w:r w:rsidRPr="00C4682F">
              <w:rPr>
                <w:rFonts w:cs="Arial"/>
                <w:color w:val="000000"/>
                <w:lang w:val="fr-CH" w:eastAsia="de-DE"/>
              </w:rPr>
              <w:lastRenderedPageBreak/>
              <w:t>(</w:t>
            </w:r>
            <w:r w:rsidR="00D63FE7" w:rsidRPr="00C4682F">
              <w:rPr>
                <w:rFonts w:cs="Arial"/>
                <w:color w:val="000000"/>
                <w:lang w:val="fr-CH" w:eastAsia="de-DE"/>
              </w:rPr>
              <w:t>coûts directs médicaux de 1.5 milliards de francs et pertes de productivité de 4 milliards par an</w:t>
            </w:r>
            <w:r w:rsidRPr="00C4682F">
              <w:rPr>
                <w:rFonts w:cs="Arial"/>
                <w:color w:val="000000"/>
                <w:lang w:val="fr-CH" w:eastAsia="de-DE"/>
              </w:rPr>
              <w:t>)</w:t>
            </w:r>
            <w:r w:rsidRPr="005468FC">
              <w:rPr>
                <w:rFonts w:cs="Arial"/>
                <w:color w:val="000000"/>
                <w:lang w:val="fr-CH" w:eastAsia="de-DE"/>
              </w:rPr>
              <w:t>.</w:t>
            </w:r>
            <w:r w:rsidRPr="00CB218F">
              <w:rPr>
                <w:rFonts w:cs="Arial"/>
                <w:color w:val="000000"/>
                <w:lang w:val="fr-CH" w:eastAsia="de-DE"/>
              </w:rPr>
              <w:t xml:space="preserve"> Le tabagisme est la principale cause évitable de maladies et de d</w:t>
            </w:r>
            <w:r w:rsidR="00081400">
              <w:rPr>
                <w:rFonts w:cs="Arial"/>
                <w:color w:val="000000"/>
                <w:lang w:val="fr-CH" w:eastAsia="de-DE"/>
              </w:rPr>
              <w:t xml:space="preserve">écès dans notre pays. </w:t>
            </w:r>
            <w:r w:rsidR="00081400">
              <w:rPr>
                <w:lang w:val="fr-CH"/>
              </w:rPr>
              <w:t xml:space="preserve">Il est estimé qu’en Suisse 400'000 à 450'000 personnes vivent avec une bronchopneumopathie chronique obstructive (BCO) et 9'000 avec un cancer du poumon, maladies pour lesquelles le tabagisme est le facteur de risque principal. </w:t>
            </w:r>
            <w:r w:rsidR="00081400">
              <w:rPr>
                <w:rFonts w:cs="Arial"/>
                <w:color w:val="000000"/>
                <w:lang w:val="fr-CH" w:eastAsia="de-DE"/>
              </w:rPr>
              <w:t>De plus, p</w:t>
            </w:r>
            <w:r w:rsidR="00081400">
              <w:rPr>
                <w:lang w:val="fr-CH"/>
              </w:rPr>
              <w:t xml:space="preserve">rès de 4'000 décès par an dans le domaine du cancer sont attribuables au tabagisme, de même que 3'700 pour les maladies cardiovasculaires. </w:t>
            </w:r>
            <w:r w:rsidR="00081400" w:rsidRPr="00C250B7">
              <w:rPr>
                <w:lang w:val="en-US"/>
              </w:rPr>
              <w:t xml:space="preserve">(Bridevaux PO, Gerbase MW, Probst-Hensch NM, Schindler C, Gaspoz JM, Rochat T. Long-term decline in lung function, utilisation of care and quality of life in modified gold stage 1 copd. </w:t>
            </w:r>
            <w:r w:rsidR="00081400" w:rsidRPr="004F2A4D">
              <w:rPr>
                <w:lang w:val="fr-CH"/>
              </w:rPr>
              <w:t>Thorax 2008; 63: 768-774.</w:t>
            </w:r>
            <w:r w:rsidR="00081400">
              <w:rPr>
                <w:lang w:val="fr-CH"/>
              </w:rPr>
              <w:t xml:space="preserve"> ; Arndt et al. </w:t>
            </w:r>
            <w:r w:rsidR="00081400" w:rsidRPr="00AE4D95">
              <w:rPr>
                <w:lang w:val="fr-CH"/>
              </w:rPr>
              <w:t>Le cancer en Suisse, rapport 2015</w:t>
            </w:r>
            <w:r w:rsidR="00081400">
              <w:rPr>
                <w:lang w:val="fr-CH"/>
              </w:rPr>
              <w:t xml:space="preserve"> : </w:t>
            </w:r>
            <w:r w:rsidR="00081400" w:rsidRPr="00AE4D95">
              <w:rPr>
                <w:lang w:val="fr-CH"/>
              </w:rPr>
              <w:t>Etat des lieux et évolutions</w:t>
            </w:r>
            <w:r w:rsidR="00081400">
              <w:rPr>
                <w:lang w:val="fr-CH"/>
              </w:rPr>
              <w:t>. OFS 2015).</w:t>
            </w:r>
          </w:p>
          <w:p w:rsidR="00AE1CCD" w:rsidRPr="00F665CB" w:rsidRDefault="00890453" w:rsidP="004A4DC0">
            <w:pPr>
              <w:spacing w:after="120"/>
              <w:jc w:val="both"/>
              <w:rPr>
                <w:lang w:val="fr-CH"/>
              </w:rPr>
            </w:pPr>
            <w:r>
              <w:rPr>
                <w:rFonts w:cs="Arial"/>
                <w:color w:val="000000"/>
                <w:lang w:val="fr-CH" w:eastAsia="de-DE"/>
              </w:rPr>
              <w:t>On ajoutera que plus</w:t>
            </w:r>
            <w:r w:rsidR="00EA1AF1">
              <w:rPr>
                <w:rFonts w:cs="Arial"/>
                <w:color w:val="000000"/>
                <w:lang w:val="fr-CH" w:eastAsia="de-DE"/>
              </w:rPr>
              <w:t xml:space="preserve"> de la moitié</w:t>
            </w:r>
            <w:r w:rsidR="00CB218F" w:rsidRPr="00CB218F">
              <w:rPr>
                <w:rFonts w:cs="Arial"/>
                <w:color w:val="000000"/>
                <w:lang w:val="fr-CH" w:eastAsia="de-DE"/>
              </w:rPr>
              <w:t xml:space="preserve"> des fumeurs en Suiss</w:t>
            </w:r>
            <w:r>
              <w:rPr>
                <w:rFonts w:cs="Arial"/>
                <w:color w:val="000000"/>
                <w:lang w:val="fr-CH" w:eastAsia="de-DE"/>
              </w:rPr>
              <w:t>e ont commencé avant l’âge de 18</w:t>
            </w:r>
            <w:r w:rsidR="00CB218F" w:rsidRPr="00CB218F">
              <w:rPr>
                <w:rFonts w:cs="Arial"/>
                <w:color w:val="000000"/>
                <w:lang w:val="fr-CH" w:eastAsia="de-DE"/>
              </w:rPr>
              <w:t xml:space="preserve"> ans et qu’en Suisse, la publicité pour le tabac vise surtout à enrôler de nouveaux jeunes consommateurs (voir les résultats de 2014 de </w:t>
            </w:r>
            <w:r w:rsidR="00CB218F">
              <w:rPr>
                <w:rFonts w:cs="Arial"/>
                <w:color w:val="222222"/>
                <w:lang w:val="fr-FR"/>
              </w:rPr>
              <w:t>l’</w:t>
            </w:r>
            <w:hyperlink r:id="rId18" w:history="1">
              <w:r w:rsidR="00CB218F" w:rsidRPr="00F93705">
                <w:rPr>
                  <w:rStyle w:val="Lienhypertexte"/>
                  <w:rFonts w:cs="Arial"/>
                  <w:lang w:val="fr-FR"/>
                </w:rPr>
                <w:t>Observatoire des stratégies marketing pour les produits du tabac</w:t>
              </w:r>
            </w:hyperlink>
            <w:r w:rsidR="00CB218F">
              <w:rPr>
                <w:rFonts w:cs="Arial"/>
                <w:color w:val="222222"/>
                <w:lang w:val="fr-FR"/>
              </w:rPr>
              <w:t>)</w:t>
            </w:r>
            <w:r w:rsidR="00CB218F" w:rsidRPr="00CB218F">
              <w:rPr>
                <w:rFonts w:cs="Arial"/>
                <w:color w:val="000000"/>
                <w:lang w:val="fr-CH" w:eastAsia="de-DE"/>
              </w:rPr>
              <w:t xml:space="preserve">, mettant en lumière leur vulnérabilité et le besoin de mettre en place de véritables mesures de protection les concernant. De plus, </w:t>
            </w:r>
            <w:r w:rsidR="00E31EFA">
              <w:rPr>
                <w:lang w:val="fr-CH"/>
              </w:rPr>
              <w:t>l</w:t>
            </w:r>
            <w:r w:rsidR="00CB218F" w:rsidRPr="00CB218F">
              <w:rPr>
                <w:lang w:val="fr-CH"/>
              </w:rPr>
              <w:t>e tabagisme, concentré</w:t>
            </w:r>
            <w:r w:rsidR="00CB218F" w:rsidRPr="00CB218F">
              <w:rPr>
                <w:rFonts w:cs="Arial"/>
                <w:color w:val="000000"/>
                <w:lang w:val="fr-CH" w:eastAsia="de-DE"/>
              </w:rPr>
              <w:t xml:space="preserve"> dans les classes socioéconomiques les plus basses, engendre des inégalités de santé importantes (</w:t>
            </w:r>
            <w:r w:rsidR="00CB218F" w:rsidRPr="00D21A47">
              <w:rPr>
                <w:rFonts w:cs="Arial"/>
                <w:color w:val="000000"/>
                <w:lang w:val="fr-CH" w:eastAsia="de-DE"/>
              </w:rPr>
              <w:t>Marmot M. Smoking and inequalities. Lancet 2006;368:341–2). Les coûts directs liés au tabac frappent ainsi les populations les plus vulnéra</w:t>
            </w:r>
            <w:r w:rsidR="00CB218F" w:rsidRPr="00CB218F">
              <w:rPr>
                <w:lang w:val="fr-CH"/>
              </w:rPr>
              <w:t>bles ce qui accentuent encore la charge sur le système de sécurité sociale et, partant, les inégalités sociales.</w:t>
            </w:r>
          </w:p>
        </w:tc>
      </w:tr>
      <w:tr w:rsidR="0064566C" w:rsidRPr="00254B1B">
        <w:tc>
          <w:tcPr>
            <w:tcW w:w="1450" w:type="dxa"/>
          </w:tcPr>
          <w:p w:rsidR="0064566C" w:rsidRPr="00CB218F" w:rsidRDefault="008B6C89" w:rsidP="00CB218F">
            <w:pPr>
              <w:spacing w:before="120" w:after="120"/>
              <w:rPr>
                <w:rFonts w:cs="Arial"/>
                <w:szCs w:val="24"/>
                <w:lang w:val="fr-CH"/>
              </w:rPr>
            </w:pPr>
            <w:r>
              <w:rPr>
                <w:rFonts w:cs="Arial"/>
                <w:szCs w:val="24"/>
                <w:lang w:val="fr-CH"/>
              </w:rPr>
              <w:lastRenderedPageBreak/>
              <w:t>…..</w:t>
            </w:r>
          </w:p>
        </w:tc>
        <w:tc>
          <w:tcPr>
            <w:tcW w:w="13336" w:type="dxa"/>
          </w:tcPr>
          <w:p w:rsidR="00CB218F" w:rsidRPr="00CB218F" w:rsidRDefault="00CB218F" w:rsidP="00CB218F">
            <w:pPr>
              <w:widowControl w:val="0"/>
              <w:autoSpaceDE w:val="0"/>
              <w:autoSpaceDN w:val="0"/>
              <w:adjustRightInd w:val="0"/>
              <w:spacing w:after="120"/>
              <w:rPr>
                <w:rFonts w:cs="Arial"/>
                <w:b/>
                <w:color w:val="000000"/>
                <w:lang w:val="fr-CH" w:eastAsia="de-DE"/>
              </w:rPr>
            </w:pPr>
            <w:r w:rsidRPr="00CB218F">
              <w:rPr>
                <w:rFonts w:cs="Arial"/>
                <w:b/>
                <w:color w:val="000000"/>
                <w:lang w:val="fr-CH" w:eastAsia="de-DE"/>
              </w:rPr>
              <w:t>La protection des enfants et des jeunes : nécessité de bannir la publicité</w:t>
            </w:r>
          </w:p>
          <w:p w:rsidR="00CB218F" w:rsidRPr="00CB218F" w:rsidRDefault="00CB218F" w:rsidP="00891C58">
            <w:pPr>
              <w:spacing w:after="120"/>
              <w:jc w:val="both"/>
              <w:rPr>
                <w:rFonts w:cs="Arial"/>
                <w:color w:val="000000"/>
                <w:lang w:val="fr-CH" w:eastAsia="de-DE"/>
              </w:rPr>
            </w:pPr>
            <w:r w:rsidRPr="00CB218F">
              <w:rPr>
                <w:rFonts w:cs="Arial"/>
                <w:color w:val="000000"/>
                <w:lang w:val="fr-CH" w:eastAsia="de-DE"/>
              </w:rPr>
              <w:t xml:space="preserve">La loi doit faire en sorte que l’industrie du tabac ne puisse plus continuer à inciter les enfants et les adolescents à fumer en utilisant des méthodes sophistiquées. Il faut que la future loi empêche les multinationales du tabac d’utiliser cette stratégie publicitaire et comporte une interdiction générale de la publicité, de la promotion et du parrainage pour les produits du tabac. Tous les domaines de la vie doivent être exempts de publicité pour le tabac. </w:t>
            </w:r>
            <w:r w:rsidRPr="00CB218F">
              <w:rPr>
                <w:lang w:val="fr-CH"/>
              </w:rPr>
              <w:t xml:space="preserve">L’interdiction de la publicité uniquement « lorsqu’elle s’adresse spécialement aux mineurs » n’est pas suffisante car difficile à mettre en œuvre et subjective – par ex. </w:t>
            </w:r>
            <w:r>
              <w:rPr>
                <w:lang w:val="fr-CH"/>
              </w:rPr>
              <w:t xml:space="preserve">comment </w:t>
            </w:r>
            <w:r w:rsidR="00E31EFA">
              <w:rPr>
                <w:lang w:val="fr-CH"/>
              </w:rPr>
              <w:t xml:space="preserve">délimiter </w:t>
            </w:r>
            <w:r>
              <w:rPr>
                <w:lang w:val="fr-CH"/>
              </w:rPr>
              <w:t xml:space="preserve">les </w:t>
            </w:r>
            <w:r w:rsidRPr="00CB218F">
              <w:rPr>
                <w:lang w:val="fr-CH"/>
              </w:rPr>
              <w:t>« lieux principalement fréquentés par des mineurs ». En d’autres termes</w:t>
            </w:r>
            <w:r w:rsidR="000E7B22">
              <w:rPr>
                <w:lang w:val="fr-CH"/>
              </w:rPr>
              <w:t>,</w:t>
            </w:r>
            <w:r w:rsidRPr="00CB218F">
              <w:rPr>
                <w:lang w:val="fr-CH"/>
              </w:rPr>
              <w:t xml:space="preserve"> limiter la publicité aux lieux fréquentés « principalement » par des adultes ne protège pas suffisamment les mineurs (idem pour les revues, etc.). Ceci est </w:t>
            </w:r>
            <w:r w:rsidR="00E31EFA">
              <w:rPr>
                <w:lang w:val="fr-CH"/>
              </w:rPr>
              <w:t>valable</w:t>
            </w:r>
            <w:r w:rsidR="00E31EFA" w:rsidRPr="00CB218F">
              <w:rPr>
                <w:lang w:val="fr-CH"/>
              </w:rPr>
              <w:t xml:space="preserve"> </w:t>
            </w:r>
            <w:r w:rsidRPr="00CB218F">
              <w:rPr>
                <w:lang w:val="fr-CH"/>
              </w:rPr>
              <w:t xml:space="preserve">également </w:t>
            </w:r>
            <w:r w:rsidR="00E31EFA">
              <w:rPr>
                <w:lang w:val="fr-CH"/>
              </w:rPr>
              <w:t>pour les</w:t>
            </w:r>
            <w:r w:rsidR="00E31EFA" w:rsidRPr="00CB218F">
              <w:rPr>
                <w:lang w:val="fr-CH"/>
              </w:rPr>
              <w:t xml:space="preserve"> </w:t>
            </w:r>
            <w:r w:rsidRPr="00CB218F">
              <w:rPr>
                <w:lang w:val="fr-CH"/>
              </w:rPr>
              <w:t>festivals qui</w:t>
            </w:r>
            <w:r w:rsidR="00786839">
              <w:rPr>
                <w:lang w:val="fr-CH"/>
              </w:rPr>
              <w:t>,</w:t>
            </w:r>
            <w:r w:rsidRPr="00CB218F">
              <w:rPr>
                <w:lang w:val="fr-CH"/>
              </w:rPr>
              <w:t xml:space="preserve"> </w:t>
            </w:r>
            <w:r w:rsidRPr="00891C58">
              <w:rPr>
                <w:rFonts w:cs="Arial"/>
                <w:color w:val="000000"/>
                <w:lang w:val="fr-CH" w:eastAsia="de-DE"/>
              </w:rPr>
              <w:t xml:space="preserve">même s’ils ne sont pas fréquentés « principalement » par des mineurs, accueillent un nombre parfois considérable d’entre eux. </w:t>
            </w:r>
            <w:r w:rsidRPr="00CB218F">
              <w:rPr>
                <w:rFonts w:cs="Arial"/>
                <w:color w:val="000000"/>
                <w:lang w:val="fr-CH" w:eastAsia="de-DE"/>
              </w:rPr>
              <w:t xml:space="preserve">En outre, cela exige l’interdiction de la publicité sur les lieux de vente et la promotion des ventes au moyen de rabais, entre autres mesures. En effet, seule une interdiction totale de la publicité est efficace, sinon les budgets publicitaires seront simplement déplacés sur les supports autorisés et la mesure restera sans effet, ou son effet sera fortement atténué (Voir Henriksen. </w:t>
            </w:r>
            <w:r w:rsidRPr="00254B1B">
              <w:rPr>
                <w:rFonts w:cs="Arial"/>
                <w:color w:val="000000"/>
                <w:lang w:val="en-US" w:eastAsia="de-DE"/>
              </w:rPr>
              <w:t xml:space="preserve">Comprehensive tobacco marketing restrictions: promotion, packaging, price and place Tobacco Control 2012;21:147e153. doi:10.1136/tobaccocontrol-2011-050416 et Saffer H, Chaloupka F. The effect of tobacco advertising bans on tobacco consumption. </w:t>
            </w:r>
            <w:r w:rsidRPr="00CB218F">
              <w:rPr>
                <w:rFonts w:cs="Arial"/>
                <w:color w:val="000000"/>
                <w:lang w:val="fr-CH" w:eastAsia="de-DE"/>
              </w:rPr>
              <w:t>J Health Econ. 2000;19(6):1117–37).</w:t>
            </w:r>
          </w:p>
          <w:p w:rsidR="0064566C" w:rsidRPr="00051F99" w:rsidRDefault="00CB218F" w:rsidP="004A4DC0">
            <w:pPr>
              <w:spacing w:after="120"/>
              <w:jc w:val="both"/>
              <w:rPr>
                <w:rFonts w:cs="Arial"/>
                <w:szCs w:val="24"/>
                <w:lang w:val="fr-CH"/>
              </w:rPr>
            </w:pPr>
            <w:r w:rsidRPr="00CB218F">
              <w:rPr>
                <w:rFonts w:cs="Arial"/>
                <w:color w:val="000000"/>
                <w:lang w:val="fr-CH" w:eastAsia="de-DE"/>
              </w:rPr>
              <w:t xml:space="preserve">A l’heure actuelle, </w:t>
            </w:r>
            <w:r w:rsidR="00D21A47">
              <w:rPr>
                <w:rFonts w:cs="Arial"/>
                <w:color w:val="000000"/>
                <w:lang w:val="fr-CH" w:eastAsia="de-DE"/>
              </w:rPr>
              <w:t>une part importante</w:t>
            </w:r>
            <w:r w:rsidRPr="00CB218F">
              <w:rPr>
                <w:rFonts w:cs="Arial"/>
                <w:color w:val="000000"/>
                <w:lang w:val="fr-CH" w:eastAsia="de-DE"/>
              </w:rPr>
              <w:t xml:space="preserve"> des mesures de commercialisation prises par l’industrie du tabac consiste en de la publicité sur le lieu de vente. La mise en œuvre de nouvelles restrictions en matière de publicité </w:t>
            </w:r>
            <w:r w:rsidR="0002697A">
              <w:rPr>
                <w:rFonts w:cs="Arial"/>
                <w:color w:val="000000"/>
                <w:lang w:val="fr-CH" w:eastAsia="de-DE"/>
              </w:rPr>
              <w:t xml:space="preserve">prévues par </w:t>
            </w:r>
            <w:r w:rsidR="0002697A" w:rsidRPr="00891C58">
              <w:rPr>
                <w:rFonts w:cs="Arial"/>
                <w:color w:val="000000"/>
                <w:lang w:val="fr-CH" w:eastAsia="de-DE"/>
              </w:rPr>
              <w:t>l’AP-LPTab</w:t>
            </w:r>
            <w:r w:rsidR="0002697A">
              <w:rPr>
                <w:rFonts w:cs="Arial"/>
                <w:color w:val="000000"/>
                <w:lang w:val="fr-CH" w:eastAsia="de-DE"/>
              </w:rPr>
              <w:t xml:space="preserve"> </w:t>
            </w:r>
            <w:r w:rsidRPr="00CB218F">
              <w:rPr>
                <w:rFonts w:cs="Arial"/>
                <w:color w:val="000000"/>
                <w:lang w:val="fr-CH" w:eastAsia="de-DE"/>
              </w:rPr>
              <w:t>poussera l’industrie du tabac à renforcer leurs mesures publicitaires sur les lieux de vente à l’avenir (</w:t>
            </w:r>
            <w:r w:rsidR="00E31EFA" w:rsidRPr="00891C58">
              <w:rPr>
                <w:rFonts w:cs="Arial"/>
                <w:color w:val="000000"/>
                <w:lang w:val="fr-CH" w:eastAsia="de-DE"/>
              </w:rPr>
              <w:t>p</w:t>
            </w:r>
            <w:r w:rsidRPr="00891C58">
              <w:rPr>
                <w:rFonts w:cs="Arial"/>
                <w:color w:val="000000"/>
                <w:lang w:val="fr-CH" w:eastAsia="de-DE"/>
              </w:rPr>
              <w:t>our un</w:t>
            </w:r>
            <w:r w:rsidR="00BF5043" w:rsidRPr="00891C58">
              <w:rPr>
                <w:rFonts w:cs="Arial"/>
                <w:color w:val="000000"/>
                <w:lang w:val="fr-CH" w:eastAsia="de-DE"/>
              </w:rPr>
              <w:t>e</w:t>
            </w:r>
            <w:r w:rsidRPr="00891C58">
              <w:rPr>
                <w:rFonts w:cs="Arial"/>
                <w:color w:val="000000"/>
                <w:lang w:val="fr-CH" w:eastAsia="de-DE"/>
              </w:rPr>
              <w:t xml:space="preserve"> revue </w:t>
            </w:r>
            <w:r w:rsidR="00BF5043" w:rsidRPr="00891C58">
              <w:rPr>
                <w:rFonts w:cs="Arial"/>
                <w:color w:val="000000"/>
                <w:lang w:val="fr-CH" w:eastAsia="de-DE"/>
              </w:rPr>
              <w:t xml:space="preserve">scientifique </w:t>
            </w:r>
            <w:r w:rsidRPr="00891C58">
              <w:rPr>
                <w:rFonts w:cs="Arial"/>
                <w:color w:val="000000"/>
                <w:lang w:val="fr-CH" w:eastAsia="de-DE"/>
              </w:rPr>
              <w:t>de l’impact de la publicité sur le lieu de vente : Robertson et al. Nicotine &amp; Tobacco Research, 2015, 2–17 doi:10.1093/ntr/ntu168</w:t>
            </w:r>
            <w:r w:rsidR="00BF5043">
              <w:rPr>
                <w:rFonts w:cs="Arial"/>
                <w:color w:val="000000"/>
                <w:lang w:val="fr-CH" w:eastAsia="de-DE"/>
              </w:rPr>
              <w:t>). C</w:t>
            </w:r>
            <w:r w:rsidRPr="00CB218F">
              <w:rPr>
                <w:rFonts w:cs="Arial"/>
                <w:color w:val="000000"/>
                <w:lang w:val="fr-CH" w:eastAsia="de-DE"/>
              </w:rPr>
              <w:t xml:space="preserve">ette interdiction </w:t>
            </w:r>
            <w:r w:rsidR="00BF5043">
              <w:rPr>
                <w:rFonts w:cs="Arial"/>
                <w:color w:val="000000"/>
                <w:lang w:val="fr-CH" w:eastAsia="de-DE"/>
              </w:rPr>
              <w:t xml:space="preserve">devrait </w:t>
            </w:r>
            <w:r w:rsidRPr="00CB218F">
              <w:rPr>
                <w:rFonts w:cs="Arial"/>
                <w:color w:val="000000"/>
                <w:lang w:val="fr-CH" w:eastAsia="de-DE"/>
              </w:rPr>
              <w:t>s’applique</w:t>
            </w:r>
            <w:r w:rsidR="00BF5043">
              <w:rPr>
                <w:rFonts w:cs="Arial"/>
                <w:color w:val="000000"/>
                <w:lang w:val="fr-CH" w:eastAsia="de-DE"/>
              </w:rPr>
              <w:t>r</w:t>
            </w:r>
            <w:r w:rsidRPr="00CB218F">
              <w:rPr>
                <w:rFonts w:cs="Arial"/>
                <w:color w:val="000000"/>
                <w:lang w:val="fr-CH" w:eastAsia="de-DE"/>
              </w:rPr>
              <w:t xml:space="preserve"> également aux cigarettes électroniques sans nicotine</w:t>
            </w:r>
            <w:r w:rsidRPr="00891C58">
              <w:rPr>
                <w:rFonts w:cs="Arial"/>
                <w:color w:val="000000"/>
                <w:lang w:val="fr-CH" w:eastAsia="de-DE"/>
              </w:rPr>
              <w:t xml:space="preserve"> </w:t>
            </w:r>
            <w:r w:rsidRPr="00CB218F">
              <w:rPr>
                <w:rFonts w:cs="Arial"/>
                <w:color w:val="000000"/>
                <w:lang w:val="fr-CH" w:eastAsia="de-DE"/>
              </w:rPr>
              <w:t>et les au</w:t>
            </w:r>
            <w:r w:rsidR="00A73E97">
              <w:rPr>
                <w:rFonts w:cs="Arial"/>
                <w:color w:val="000000"/>
                <w:lang w:val="fr-CH" w:eastAsia="de-DE"/>
              </w:rPr>
              <w:t>tres produits mentionnés dans l’AP-LPTab</w:t>
            </w:r>
            <w:r w:rsidRPr="00CB218F">
              <w:rPr>
                <w:rFonts w:cs="Arial"/>
                <w:color w:val="000000"/>
                <w:lang w:val="fr-CH" w:eastAsia="de-DE"/>
              </w:rPr>
              <w:t xml:space="preserve">, car dans le cas contraire, </w:t>
            </w:r>
            <w:r w:rsidR="0002697A">
              <w:rPr>
                <w:rFonts w:cs="Arial"/>
                <w:color w:val="000000"/>
                <w:lang w:val="fr-CH" w:eastAsia="de-DE"/>
              </w:rPr>
              <w:t xml:space="preserve">ces derniers pourraient être utilisés afin de continuer indirectement à faire de la publicité pour les cigarettes et ainsi </w:t>
            </w:r>
            <w:r w:rsidR="00A73E97">
              <w:rPr>
                <w:rFonts w:cs="Arial"/>
                <w:color w:val="000000"/>
                <w:lang w:val="fr-CH" w:eastAsia="de-DE"/>
              </w:rPr>
              <w:t>en ban</w:t>
            </w:r>
            <w:r w:rsidR="0002697A">
              <w:rPr>
                <w:rFonts w:cs="Arial"/>
                <w:color w:val="000000"/>
                <w:lang w:val="fr-CH" w:eastAsia="de-DE"/>
              </w:rPr>
              <w:t>aliser</w:t>
            </w:r>
            <w:r w:rsidR="00A73E97">
              <w:rPr>
                <w:rFonts w:cs="Arial"/>
                <w:color w:val="000000"/>
                <w:lang w:val="fr-CH" w:eastAsia="de-DE"/>
              </w:rPr>
              <w:t xml:space="preserve"> la conso</w:t>
            </w:r>
            <w:r w:rsidR="0002697A">
              <w:rPr>
                <w:rFonts w:cs="Arial"/>
                <w:color w:val="000000"/>
                <w:lang w:val="fr-CH" w:eastAsia="de-DE"/>
              </w:rPr>
              <w:t>mmation</w:t>
            </w:r>
            <w:r>
              <w:rPr>
                <w:rFonts w:cs="Arial"/>
                <w:color w:val="000000"/>
                <w:lang w:val="fr-CH" w:eastAsia="de-DE"/>
              </w:rPr>
              <w:t>.</w:t>
            </w:r>
          </w:p>
        </w:tc>
      </w:tr>
      <w:tr w:rsidR="005A7EC3" w:rsidRPr="00254B1B">
        <w:tc>
          <w:tcPr>
            <w:tcW w:w="1450" w:type="dxa"/>
          </w:tcPr>
          <w:p w:rsidR="005A7EC3" w:rsidRDefault="005A7EC3" w:rsidP="005A7EC3">
            <w:pPr>
              <w:spacing w:before="120" w:after="120"/>
              <w:rPr>
                <w:rFonts w:cs="Arial"/>
                <w:szCs w:val="24"/>
                <w:lang w:val="fr-CH"/>
              </w:rPr>
            </w:pPr>
            <w:r w:rsidRPr="00CB218F">
              <w:rPr>
                <w:rFonts w:cs="Arial"/>
                <w:szCs w:val="24"/>
                <w:lang w:val="fr-CH"/>
              </w:rPr>
              <w:lastRenderedPageBreak/>
              <w:t xml:space="preserve">Prof. </w:t>
            </w:r>
            <w:r>
              <w:rPr>
                <w:rFonts w:cs="Arial"/>
                <w:szCs w:val="24"/>
                <w:lang w:val="fr-CH"/>
              </w:rPr>
              <w:t>…</w:t>
            </w:r>
          </w:p>
          <w:p w:rsidR="005A7EC3" w:rsidRDefault="005A7EC3" w:rsidP="005A7EC3">
            <w:pPr>
              <w:spacing w:before="120" w:after="120"/>
              <w:rPr>
                <w:rFonts w:cs="Arial"/>
                <w:szCs w:val="24"/>
                <w:lang w:val="fr-CH"/>
              </w:rPr>
            </w:pPr>
            <w:r>
              <w:rPr>
                <w:rFonts w:cs="Arial"/>
                <w:szCs w:val="24"/>
                <w:lang w:val="fr-CH"/>
              </w:rPr>
              <w:t>Institut…</w:t>
            </w:r>
          </w:p>
          <w:p w:rsidR="005A7EC3" w:rsidRDefault="005A7EC3" w:rsidP="005A7EC3">
            <w:pPr>
              <w:spacing w:before="120" w:after="120"/>
              <w:rPr>
                <w:rFonts w:cs="Arial"/>
                <w:szCs w:val="24"/>
                <w:lang w:val="fr-CH"/>
              </w:rPr>
            </w:pPr>
            <w:r>
              <w:rPr>
                <w:rFonts w:cs="Arial"/>
                <w:szCs w:val="24"/>
                <w:lang w:val="fr-CH"/>
              </w:rPr>
              <w:t>Faculté</w:t>
            </w:r>
          </w:p>
          <w:p w:rsidR="005A7EC3" w:rsidRDefault="005A7EC3" w:rsidP="005A7EC3">
            <w:pPr>
              <w:spacing w:before="120" w:after="120"/>
              <w:rPr>
                <w:rFonts w:cs="Arial"/>
                <w:szCs w:val="24"/>
                <w:lang w:val="fr-CH"/>
              </w:rPr>
            </w:pPr>
            <w:r>
              <w:rPr>
                <w:rFonts w:cs="Arial"/>
                <w:szCs w:val="24"/>
                <w:lang w:val="fr-CH"/>
              </w:rPr>
              <w:t>Université…</w:t>
            </w:r>
          </w:p>
          <w:p w:rsidR="005A7EC3" w:rsidRPr="00CB218F" w:rsidRDefault="005A7EC3" w:rsidP="005A7EC3">
            <w:pPr>
              <w:spacing w:before="120" w:after="120"/>
              <w:rPr>
                <w:rFonts w:cs="Arial"/>
                <w:szCs w:val="24"/>
                <w:lang w:val="fr-CH"/>
              </w:rPr>
            </w:pPr>
            <w:r>
              <w:rPr>
                <w:rFonts w:cs="Arial"/>
                <w:szCs w:val="24"/>
                <w:lang w:val="fr-CH"/>
              </w:rPr>
              <w:t>SSPH+</w:t>
            </w:r>
          </w:p>
        </w:tc>
        <w:tc>
          <w:tcPr>
            <w:tcW w:w="13336" w:type="dxa"/>
          </w:tcPr>
          <w:p w:rsidR="005A7EC3" w:rsidRPr="00786839" w:rsidRDefault="005A7EC3" w:rsidP="005A7EC3">
            <w:pPr>
              <w:autoSpaceDE w:val="0"/>
              <w:autoSpaceDN w:val="0"/>
              <w:adjustRightInd w:val="0"/>
              <w:spacing w:after="120" w:line="240" w:lineRule="auto"/>
              <w:rPr>
                <w:rFonts w:cs="Arial"/>
                <w:b/>
                <w:color w:val="000000"/>
                <w:lang w:val="fr-CH" w:eastAsia="de-DE"/>
              </w:rPr>
            </w:pPr>
            <w:r w:rsidRPr="00786839">
              <w:rPr>
                <w:rFonts w:cs="Arial"/>
                <w:b/>
                <w:color w:val="000000"/>
                <w:lang w:val="fr-CH" w:eastAsia="de-DE"/>
              </w:rPr>
              <w:t>Nécessité d’un emballage neutre</w:t>
            </w:r>
          </w:p>
          <w:p w:rsidR="005A7EC3" w:rsidRPr="00786839" w:rsidRDefault="005A7EC3" w:rsidP="00891C58">
            <w:pPr>
              <w:spacing w:after="120"/>
              <w:jc w:val="both"/>
              <w:rPr>
                <w:rFonts w:cs="Arial"/>
                <w:color w:val="000000"/>
                <w:lang w:val="fr-CH" w:eastAsia="de-DE"/>
              </w:rPr>
            </w:pPr>
            <w:r w:rsidRPr="00786839">
              <w:rPr>
                <w:rFonts w:cs="Arial"/>
                <w:color w:val="000000"/>
                <w:lang w:val="fr-CH" w:eastAsia="de-DE"/>
              </w:rPr>
              <w:t>L’</w:t>
            </w:r>
            <w:r w:rsidR="000E7B22">
              <w:rPr>
                <w:rFonts w:cs="Arial"/>
                <w:color w:val="000000"/>
                <w:lang w:val="fr-CH" w:eastAsia="de-DE"/>
              </w:rPr>
              <w:t>emballage d’une marchandise vise</w:t>
            </w:r>
            <w:r w:rsidRPr="00786839">
              <w:rPr>
                <w:rFonts w:cs="Arial"/>
                <w:color w:val="000000"/>
                <w:lang w:val="fr-CH" w:eastAsia="de-DE"/>
              </w:rPr>
              <w:t xml:space="preserve"> également à faire de la publicité pour cette même marchandise. L’industrie du tabac se sert de l’emballage pour rendre ses produits plus attrayants auprès de certains groupes cibles déterminés. Ainsi, il y a lieu de formuler la future loi sur les produits du tabac de telle façon qu’il soit en principe possible d’introduire une prescription relative aux emballages neutres dans la future ordonnance sur le tabac. Des ajustements des avertissements sont donc inévitables. La différence de taille des avertissements proposée pour les produits du tabac destinés à être fumés et les autres produits doit être rejetée, car tous les produits du tabac sont nocifs pour la santé.</w:t>
            </w:r>
          </w:p>
          <w:p w:rsidR="005A7EC3" w:rsidRPr="00786839" w:rsidRDefault="005A7EC3" w:rsidP="00891C58">
            <w:pPr>
              <w:spacing w:after="120"/>
              <w:jc w:val="both"/>
              <w:rPr>
                <w:rFonts w:cs="Arial"/>
                <w:color w:val="000000"/>
                <w:lang w:val="fr-CH" w:eastAsia="de-DE"/>
              </w:rPr>
            </w:pPr>
            <w:r>
              <w:rPr>
                <w:rFonts w:cs="Arial"/>
                <w:color w:val="212121"/>
                <w:lang w:val="fr-FR"/>
              </w:rPr>
              <w:t>L’instauration du paquet neutre pou</w:t>
            </w:r>
            <w:r w:rsidR="00BF5043">
              <w:rPr>
                <w:rFonts w:cs="Arial"/>
                <w:color w:val="212121"/>
                <w:lang w:val="fr-FR"/>
              </w:rPr>
              <w:t xml:space="preserve">r tous les produits du tabac </w:t>
            </w:r>
            <w:r>
              <w:rPr>
                <w:rFonts w:cs="Arial"/>
                <w:color w:val="212121"/>
                <w:lang w:val="fr-FR"/>
              </w:rPr>
              <w:t xml:space="preserve">est la solution optimale </w:t>
            </w:r>
            <w:r w:rsidRPr="00786839">
              <w:rPr>
                <w:rFonts w:cs="Arial"/>
                <w:color w:val="000000"/>
                <w:lang w:val="fr-CH" w:eastAsia="de-DE"/>
              </w:rPr>
              <w:t xml:space="preserve">(McNeill A, Gravely S, Hitchman SC, Bauld L, Hammond D, Hartmann-Boyce J. Tobacco packaging design for reducing tobacco use. </w:t>
            </w:r>
            <w:r w:rsidRPr="00863A4E">
              <w:rPr>
                <w:rFonts w:cs="Arial"/>
                <w:color w:val="000000"/>
                <w:lang w:val="en-US" w:eastAsia="de-DE"/>
              </w:rPr>
              <w:t xml:space="preserve">Cochrane Database of </w:t>
            </w:r>
            <w:r w:rsidRPr="00254B1B">
              <w:rPr>
                <w:rFonts w:cs="Arial"/>
                <w:color w:val="000000"/>
                <w:lang w:val="en-US" w:eastAsia="de-DE"/>
              </w:rPr>
              <w:t>Systematic</w:t>
            </w:r>
            <w:r w:rsidRPr="00863A4E">
              <w:rPr>
                <w:rFonts w:cs="Arial"/>
                <w:color w:val="000000"/>
                <w:lang w:val="en-US" w:eastAsia="de-DE"/>
              </w:rPr>
              <w:t xml:space="preserve"> Reviews 2017, Issue 4. Art. No.: CD011244. </w:t>
            </w:r>
            <w:r w:rsidRPr="002013E5">
              <w:rPr>
                <w:rFonts w:cs="Arial"/>
                <w:color w:val="000000"/>
                <w:lang w:val="en-US" w:eastAsia="de-DE"/>
              </w:rPr>
              <w:t>DOI: 10.1002/14651858.CD011244.pub2).</w:t>
            </w:r>
            <w:r w:rsidRPr="002013E5">
              <w:rPr>
                <w:rFonts w:cs="Arial"/>
                <w:color w:val="212121"/>
                <w:lang w:val="en-US"/>
              </w:rPr>
              <w:t xml:space="preserve"> </w:t>
            </w:r>
            <w:r>
              <w:rPr>
                <w:rFonts w:cs="Arial"/>
                <w:color w:val="212121"/>
                <w:lang w:val="fr-FR"/>
              </w:rPr>
              <w:t>Nous considérons que c’est la voie royale. A défaut, nous estimons qu’une mise en conformité avec les standards internationaux tels que définis dans les recommandations de l’OMS serait déjà une amélioration significative.</w:t>
            </w:r>
          </w:p>
        </w:tc>
      </w:tr>
      <w:tr w:rsidR="005A7EC3" w:rsidRPr="00254B1B" w:rsidTr="00352B60">
        <w:tc>
          <w:tcPr>
            <w:tcW w:w="1450" w:type="dxa"/>
          </w:tcPr>
          <w:p w:rsidR="005A7EC3" w:rsidRPr="00CB218F" w:rsidRDefault="008B6C89" w:rsidP="005A7EC3">
            <w:pPr>
              <w:spacing w:before="120" w:after="120"/>
              <w:rPr>
                <w:rFonts w:cs="Arial"/>
                <w:szCs w:val="24"/>
                <w:lang w:val="fr-CH"/>
              </w:rPr>
            </w:pPr>
            <w:r>
              <w:rPr>
                <w:rFonts w:cs="Arial"/>
                <w:szCs w:val="24"/>
                <w:lang w:val="fr-CH"/>
              </w:rPr>
              <w:t>…</w:t>
            </w:r>
          </w:p>
        </w:tc>
        <w:tc>
          <w:tcPr>
            <w:tcW w:w="13336" w:type="dxa"/>
          </w:tcPr>
          <w:p w:rsidR="005A7EC3" w:rsidRPr="00786839" w:rsidRDefault="005A7EC3" w:rsidP="005A7EC3">
            <w:pPr>
              <w:widowControl w:val="0"/>
              <w:autoSpaceDE w:val="0"/>
              <w:autoSpaceDN w:val="0"/>
              <w:adjustRightInd w:val="0"/>
              <w:spacing w:after="120"/>
              <w:rPr>
                <w:rFonts w:cs="Arial"/>
                <w:b/>
                <w:color w:val="000000"/>
                <w:lang w:val="fr-CH" w:eastAsia="de-DE"/>
              </w:rPr>
            </w:pPr>
            <w:r w:rsidRPr="00786839">
              <w:rPr>
                <w:rFonts w:cs="Arial"/>
                <w:b/>
                <w:color w:val="000000"/>
                <w:lang w:val="fr-CH" w:eastAsia="de-DE"/>
              </w:rPr>
              <w:t>Pour un sponsoring des manifestations sportives et culturelles indépendant de l’industrie du tabac</w:t>
            </w:r>
          </w:p>
          <w:p w:rsidR="005A7EC3" w:rsidRPr="00786839" w:rsidRDefault="005A7EC3" w:rsidP="00891C58">
            <w:pPr>
              <w:spacing w:after="120"/>
              <w:jc w:val="both"/>
              <w:rPr>
                <w:rFonts w:cs="Arial"/>
                <w:color w:val="000000"/>
                <w:lang w:val="fr-CH" w:eastAsia="de-DE"/>
              </w:rPr>
            </w:pPr>
            <w:r w:rsidRPr="00786839">
              <w:rPr>
                <w:rFonts w:cs="Arial"/>
                <w:color w:val="000000"/>
                <w:lang w:val="fr-CH" w:eastAsia="de-DE"/>
              </w:rPr>
              <w:t>Parallèlem</w:t>
            </w:r>
            <w:r>
              <w:rPr>
                <w:rFonts w:cs="Arial"/>
                <w:color w:val="000000"/>
                <w:lang w:val="fr-CH" w:eastAsia="de-DE"/>
              </w:rPr>
              <w:t>ent à l’interdiction de la publicité et aux restrictions sur l’emballage</w:t>
            </w:r>
            <w:r w:rsidRPr="00786839">
              <w:rPr>
                <w:rFonts w:cs="Arial"/>
                <w:color w:val="000000"/>
                <w:lang w:val="fr-CH" w:eastAsia="de-DE"/>
              </w:rPr>
              <w:t xml:space="preserve">, il convient d’introduire des mécanismes afin d’assurer une continuité dans le financement des évènements sportifs et culturels qui sont encore fortement dépendants des cigarettiers. On notera que certains évènements de portée nationale, comme le Festival du Gurten, ont déjà indiqué leur désengagement de l’industrie du tabac. Une telle démarche volontaire est à saluer. </w:t>
            </w:r>
            <w:r>
              <w:rPr>
                <w:rFonts w:cs="Arial"/>
                <w:color w:val="000000"/>
                <w:lang w:val="fr-CH" w:eastAsia="de-DE"/>
              </w:rPr>
              <w:t>Si u</w:t>
            </w:r>
            <w:r w:rsidRPr="00786839">
              <w:rPr>
                <w:rFonts w:cs="Arial"/>
                <w:color w:val="000000"/>
                <w:lang w:val="fr-CH" w:eastAsia="de-DE"/>
              </w:rPr>
              <w:t xml:space="preserve">ne part importante de l’augmentation nécessaire des taxes sur les produits du tabac devrait être </w:t>
            </w:r>
            <w:r>
              <w:rPr>
                <w:rFonts w:cs="Arial"/>
                <w:color w:val="000000"/>
                <w:lang w:val="fr-CH" w:eastAsia="de-DE"/>
              </w:rPr>
              <w:t xml:space="preserve">prioritairement </w:t>
            </w:r>
            <w:r w:rsidRPr="00786839">
              <w:rPr>
                <w:rFonts w:cs="Arial"/>
                <w:color w:val="000000"/>
                <w:lang w:val="fr-CH" w:eastAsia="de-DE"/>
              </w:rPr>
              <w:t xml:space="preserve">consacrée à des mesures </w:t>
            </w:r>
            <w:r>
              <w:rPr>
                <w:lang w:val="fr-CH"/>
              </w:rPr>
              <w:t>favorisant l’arrêt du tabagisme, il</w:t>
            </w:r>
            <w:r w:rsidRPr="00786839">
              <w:rPr>
                <w:rFonts w:cs="Arial"/>
                <w:color w:val="000000"/>
                <w:lang w:val="fr-CH" w:eastAsia="de-DE"/>
              </w:rPr>
              <w:t xml:space="preserve"> est aussi important de soutenir </w:t>
            </w:r>
            <w:r>
              <w:rPr>
                <w:rFonts w:cs="Arial"/>
                <w:color w:val="000000"/>
                <w:lang w:val="fr-CH" w:eastAsia="de-DE"/>
              </w:rPr>
              <w:t>les activités sportives et culturelles. U</w:t>
            </w:r>
            <w:r w:rsidRPr="00786839">
              <w:rPr>
                <w:rFonts w:cs="Arial"/>
                <w:color w:val="000000"/>
                <w:lang w:val="fr-CH" w:eastAsia="de-DE"/>
              </w:rPr>
              <w:t xml:space="preserve">n fonds alimenté par les taxes sur les produits du tabac </w:t>
            </w:r>
            <w:r>
              <w:rPr>
                <w:rFonts w:cs="Arial"/>
                <w:color w:val="000000"/>
                <w:lang w:val="fr-CH" w:eastAsia="de-DE"/>
              </w:rPr>
              <w:t>devrait ainsi être</w:t>
            </w:r>
            <w:r w:rsidRPr="00786839">
              <w:rPr>
                <w:rFonts w:cs="Arial"/>
                <w:color w:val="000000"/>
                <w:lang w:val="fr-CH" w:eastAsia="de-DE"/>
              </w:rPr>
              <w:t xml:space="preserve"> mis à disposition des organisateurs de manifestations sportives et culturelles. Un tel fond pourrait être géré directement par les milieux concernés sans intervention étatique ni des milieux de la santé publique, étant garanti </w:t>
            </w:r>
            <w:r>
              <w:rPr>
                <w:rFonts w:cs="Arial"/>
                <w:color w:val="000000"/>
                <w:lang w:val="fr-CH" w:eastAsia="de-DE"/>
              </w:rPr>
              <w:t>que l’industrie du tabac en soi</w:t>
            </w:r>
            <w:r w:rsidR="004A4DC0">
              <w:rPr>
                <w:rFonts w:cs="Arial"/>
                <w:color w:val="000000"/>
                <w:lang w:val="fr-CH" w:eastAsia="de-DE"/>
              </w:rPr>
              <w:t>t</w:t>
            </w:r>
            <w:r>
              <w:rPr>
                <w:rFonts w:cs="Arial"/>
                <w:color w:val="000000"/>
                <w:lang w:val="fr-CH" w:eastAsia="de-DE"/>
              </w:rPr>
              <w:t xml:space="preserve"> clairement </w:t>
            </w:r>
            <w:r w:rsidRPr="00786839">
              <w:rPr>
                <w:rFonts w:cs="Arial"/>
                <w:color w:val="000000"/>
                <w:lang w:val="fr-CH" w:eastAsia="de-DE"/>
              </w:rPr>
              <w:t>exclu</w:t>
            </w:r>
            <w:r w:rsidR="004A4DC0">
              <w:rPr>
                <w:rFonts w:cs="Arial"/>
                <w:color w:val="000000"/>
                <w:lang w:val="fr-CH" w:eastAsia="de-DE"/>
              </w:rPr>
              <w:t>e</w:t>
            </w:r>
            <w:r w:rsidRPr="00786839">
              <w:rPr>
                <w:rFonts w:cs="Arial"/>
                <w:color w:val="000000"/>
                <w:lang w:val="fr-CH" w:eastAsia="de-DE"/>
              </w:rPr>
              <w:t>.</w:t>
            </w:r>
            <w:r w:rsidR="00B8512C">
              <w:rPr>
                <w:rFonts w:cs="Arial"/>
                <w:color w:val="000000"/>
                <w:lang w:val="fr-CH" w:eastAsia="de-DE"/>
              </w:rPr>
              <w:t xml:space="preserve"> Le désengagement des cigarettiers pourrait d’ailleurs créer des opportunités de financement par d’autres acteurs qui à l’heure actuelle ne sont pas impliqués car il</w:t>
            </w:r>
            <w:r w:rsidR="00EF6C4C">
              <w:rPr>
                <w:rFonts w:cs="Arial"/>
                <w:color w:val="000000"/>
                <w:lang w:val="fr-CH" w:eastAsia="de-DE"/>
              </w:rPr>
              <w:t>s</w:t>
            </w:r>
            <w:r w:rsidR="00B8512C">
              <w:rPr>
                <w:rFonts w:cs="Arial"/>
                <w:color w:val="000000"/>
                <w:lang w:val="fr-CH" w:eastAsia="de-DE"/>
              </w:rPr>
              <w:t xml:space="preserve"> ne veulent pas être associé</w:t>
            </w:r>
            <w:r w:rsidR="00EF6C4C">
              <w:rPr>
                <w:rFonts w:cs="Arial"/>
                <w:color w:val="000000"/>
                <w:lang w:val="fr-CH" w:eastAsia="de-DE"/>
              </w:rPr>
              <w:t>s</w:t>
            </w:r>
            <w:r w:rsidR="00B8512C">
              <w:rPr>
                <w:rFonts w:cs="Arial"/>
                <w:color w:val="000000"/>
                <w:lang w:val="fr-CH" w:eastAsia="de-DE"/>
              </w:rPr>
              <w:t xml:space="preserve"> au tabac.</w:t>
            </w:r>
          </w:p>
        </w:tc>
      </w:tr>
      <w:tr w:rsidR="005A7EC3" w:rsidRPr="00254B1B">
        <w:tc>
          <w:tcPr>
            <w:tcW w:w="1450" w:type="dxa"/>
          </w:tcPr>
          <w:p w:rsidR="005A7EC3" w:rsidRPr="00CB218F" w:rsidRDefault="008B6C89" w:rsidP="005A7EC3">
            <w:pPr>
              <w:spacing w:before="120" w:after="120"/>
              <w:rPr>
                <w:rFonts w:cs="Arial"/>
                <w:szCs w:val="24"/>
                <w:lang w:val="fr-CH"/>
              </w:rPr>
            </w:pPr>
            <w:r>
              <w:rPr>
                <w:rFonts w:cs="Arial"/>
                <w:szCs w:val="24"/>
                <w:lang w:val="fr-CH"/>
              </w:rPr>
              <w:t>….</w:t>
            </w:r>
          </w:p>
        </w:tc>
        <w:tc>
          <w:tcPr>
            <w:tcW w:w="13336" w:type="dxa"/>
          </w:tcPr>
          <w:p w:rsidR="005A7EC3" w:rsidRPr="00A62213" w:rsidRDefault="005A7EC3" w:rsidP="005A7EC3">
            <w:pPr>
              <w:widowControl w:val="0"/>
              <w:autoSpaceDE w:val="0"/>
              <w:autoSpaceDN w:val="0"/>
              <w:adjustRightInd w:val="0"/>
              <w:spacing w:after="120"/>
              <w:rPr>
                <w:b/>
                <w:lang w:val="fr-CH"/>
              </w:rPr>
            </w:pPr>
            <w:r w:rsidRPr="00A62213">
              <w:rPr>
                <w:b/>
                <w:lang w:val="fr-CH"/>
              </w:rPr>
              <w:t>Mesures spécifiques de protection des consommateurs</w:t>
            </w:r>
          </w:p>
          <w:p w:rsidR="005A7EC3" w:rsidRPr="00891C58" w:rsidRDefault="005A7EC3" w:rsidP="00891C58">
            <w:pPr>
              <w:spacing w:after="120"/>
              <w:jc w:val="both"/>
              <w:rPr>
                <w:rFonts w:cs="Arial"/>
                <w:color w:val="000000"/>
                <w:lang w:val="fr-CH" w:eastAsia="de-DE"/>
              </w:rPr>
            </w:pPr>
            <w:r w:rsidRPr="00891C58">
              <w:rPr>
                <w:rFonts w:cs="Arial"/>
                <w:color w:val="000000"/>
                <w:lang w:val="fr-CH" w:eastAsia="de-DE"/>
              </w:rPr>
              <w:t xml:space="preserve">La protection du consommateur ne passe pas seulement par l’information et les interdictions. Il y a des mesures concrètes à adopter d’ordre structurel par exemple en termes de taxation, </w:t>
            </w:r>
            <w:r w:rsidR="00580A56" w:rsidRPr="00891C58">
              <w:rPr>
                <w:rFonts w:cs="Arial"/>
                <w:color w:val="000000"/>
                <w:lang w:val="fr-CH" w:eastAsia="de-DE"/>
              </w:rPr>
              <w:t xml:space="preserve">d’incitation et d’aide </w:t>
            </w:r>
            <w:r w:rsidRPr="00891C58">
              <w:rPr>
                <w:rFonts w:cs="Arial"/>
                <w:color w:val="000000"/>
                <w:lang w:val="fr-CH" w:eastAsia="de-DE"/>
              </w:rPr>
              <w:t>à la désaccoutumance, d’éducation, de campagnes médiatiques,</w:t>
            </w:r>
            <w:r w:rsidR="00580A56" w:rsidRPr="00891C58">
              <w:rPr>
                <w:rFonts w:cs="Arial"/>
                <w:color w:val="000000"/>
                <w:lang w:val="fr-CH" w:eastAsia="de-DE"/>
              </w:rPr>
              <w:t xml:space="preserve"> de vente aux mineurs, de composition des produits,</w:t>
            </w:r>
            <w:r w:rsidRPr="00891C58">
              <w:rPr>
                <w:rFonts w:cs="Arial"/>
                <w:color w:val="000000"/>
                <w:lang w:val="fr-CH" w:eastAsia="de-DE"/>
              </w:rPr>
              <w:t xml:space="preserve"> de traçabilité des produits pour éviter le commerce illicite, de publicité, de promotion et parrainage des manifestations sportives et culturelles indépendants de l’industrie du tabac (via les taxes), etc. L’objectif de la loi devrait être de garantir les droits des non-fumeurs comme des fumeurs. Les fumeurs ne doivent pas être stigmatisés. Ils doivent pouvoir vivre leur choix de manière à ne pas interférer avec les droits des non-fumeurs mais ils doivent aussi bénéficier des moyens adéquats pour pouvoir lutter contre leur addiction.</w:t>
            </w:r>
            <w:r w:rsidR="00C1664E" w:rsidRPr="00891C58">
              <w:rPr>
                <w:rFonts w:cs="Arial"/>
                <w:color w:val="000000"/>
                <w:lang w:val="fr-CH" w:eastAsia="de-DE"/>
              </w:rPr>
              <w:t xml:space="preserve"> Loin de défendre la liberté des consommateurs, comme le soutiennent les promoteurs de l’AP-LPTab, ce texte limite fortement leur faculté d’exercer leur libre choix et protège les seuls intérêts de l’industrie du tabac</w:t>
            </w:r>
            <w:r w:rsidR="00891C58">
              <w:rPr>
                <w:rFonts w:cs="Arial"/>
                <w:color w:val="000000"/>
                <w:lang w:val="fr-CH" w:eastAsia="de-DE"/>
              </w:rPr>
              <w:t>.</w:t>
            </w:r>
          </w:p>
          <w:p w:rsidR="00D21A47" w:rsidRPr="00891C58" w:rsidRDefault="005A7EC3" w:rsidP="00891C58">
            <w:pPr>
              <w:spacing w:after="120"/>
              <w:jc w:val="both"/>
              <w:rPr>
                <w:rFonts w:cs="Arial"/>
                <w:color w:val="000000"/>
                <w:lang w:val="fr-CH" w:eastAsia="de-DE"/>
              </w:rPr>
            </w:pPr>
            <w:r w:rsidRPr="00891C58">
              <w:rPr>
                <w:rFonts w:cs="Arial"/>
                <w:color w:val="000000"/>
                <w:lang w:val="fr-CH" w:eastAsia="de-DE"/>
              </w:rPr>
              <w:t xml:space="preserve">Le texte mis en consultation selon les directives du Parlement s’avère non seulement contraire à la volonté populaire mais il va à l’encontre du libre choix des citoyens, qu’ils soient fumeurs ou non-fumeurs. La moitié des fumeuses et des fumeurs aimeraient en effet cesser de consommer des </w:t>
            </w:r>
            <w:r w:rsidRPr="00891C58">
              <w:rPr>
                <w:rFonts w:cs="Arial"/>
                <w:color w:val="000000"/>
                <w:lang w:val="fr-CH" w:eastAsia="de-DE"/>
              </w:rPr>
              <w:lastRenderedPageBreak/>
              <w:t>produits du tabac. L’hypothèse du consommateur rationnel et bien informé ne tient clairement pas dans ce cas</w:t>
            </w:r>
            <w:r w:rsidR="00EF6C4C" w:rsidRPr="00891C58">
              <w:rPr>
                <w:rFonts w:cs="Arial"/>
                <w:color w:val="000000"/>
                <w:lang w:val="fr-CH" w:eastAsia="de-DE"/>
              </w:rPr>
              <w:t xml:space="preserve"> (</w:t>
            </w:r>
            <w:r w:rsidR="00EC6A70" w:rsidRPr="00891C58">
              <w:rPr>
                <w:rFonts w:cs="Arial"/>
                <w:color w:val="000000"/>
                <w:lang w:val="fr-CH" w:eastAsia="de-DE"/>
              </w:rPr>
              <w:t>Sunstein C. and Thaler R. H. (2003), “Libertarian Paternalism”, The American Economics Review, 93(2), p. 175-179</w:t>
            </w:r>
            <w:r w:rsidR="00EF6C4C" w:rsidRPr="00891C58">
              <w:rPr>
                <w:rFonts w:cs="Arial"/>
                <w:color w:val="000000"/>
                <w:lang w:val="fr-CH" w:eastAsia="de-DE"/>
              </w:rPr>
              <w:t>)</w:t>
            </w:r>
            <w:r w:rsidRPr="00891C58">
              <w:rPr>
                <w:rFonts w:cs="Arial"/>
                <w:color w:val="000000"/>
                <w:lang w:val="fr-CH" w:eastAsia="de-DE"/>
              </w:rPr>
              <w:t xml:space="preserve">. Les fumeurs continuent de consommer du tabac, plus dans le but d’éviter l’effet de la désaccoutumance que par choix rationnel. Une étude récente aux </w:t>
            </w:r>
            <w:r w:rsidR="00EC6A70" w:rsidRPr="00891C58">
              <w:rPr>
                <w:rFonts w:cs="Arial"/>
                <w:color w:val="000000"/>
                <w:lang w:val="fr-CH" w:eastAsia="de-DE"/>
              </w:rPr>
              <w:t xml:space="preserve">Etats-Unis </w:t>
            </w:r>
            <w:r w:rsidRPr="00891C58">
              <w:rPr>
                <w:rFonts w:cs="Arial"/>
                <w:color w:val="000000"/>
                <w:lang w:val="fr-CH" w:eastAsia="de-DE"/>
              </w:rPr>
              <w:t>montre que la grande majorité des fumeurs expriment un désir d’arrêter, regrettent d’avoir commencé et se considèrent comme dépenda</w:t>
            </w:r>
            <w:r w:rsidR="00E93FBA">
              <w:rPr>
                <w:rFonts w:cs="Arial"/>
                <w:color w:val="000000"/>
                <w:lang w:val="fr-CH" w:eastAsia="de-DE"/>
              </w:rPr>
              <w:t>nts (voir Pechacek TF, et al. To</w:t>
            </w:r>
            <w:r w:rsidRPr="00891C58">
              <w:rPr>
                <w:rFonts w:cs="Arial"/>
                <w:color w:val="000000"/>
                <w:lang w:val="fr-CH" w:eastAsia="de-DE"/>
              </w:rPr>
              <w:t>b Control 2017;0:1–9. doi:10.1136/tobaccocontrol-2017-053734</w:t>
            </w:r>
            <w:r w:rsidR="00D21A47" w:rsidRPr="00891C58">
              <w:rPr>
                <w:rFonts w:cs="Arial"/>
                <w:color w:val="000000"/>
                <w:lang w:val="fr-CH" w:eastAsia="de-DE"/>
              </w:rPr>
              <w:t>).</w:t>
            </w:r>
          </w:p>
          <w:p w:rsidR="005A7EC3" w:rsidRPr="00254B1B" w:rsidRDefault="00905ED7" w:rsidP="00891C58">
            <w:pPr>
              <w:spacing w:after="120"/>
              <w:jc w:val="both"/>
              <w:rPr>
                <w:rFonts w:ascii="Verdana" w:hAnsi="Verdana" w:cs="Verdana"/>
                <w:snapToGrid/>
                <w:color w:val="000000"/>
                <w:sz w:val="24"/>
                <w:szCs w:val="24"/>
                <w:lang w:val="fr-CH" w:eastAsia="fr-CH"/>
              </w:rPr>
            </w:pPr>
            <w:r w:rsidRPr="00580A56">
              <w:rPr>
                <w:lang w:val="fr-CH"/>
              </w:rPr>
              <w:t xml:space="preserve">L’industrie du tabac joue d’ailleurs directement sur la dépendance des fumeurs en l’accentuant davantage, aussi bien </w:t>
            </w:r>
            <w:r w:rsidR="000E7B22" w:rsidRPr="00580A56">
              <w:rPr>
                <w:lang w:val="fr-CH"/>
              </w:rPr>
              <w:t xml:space="preserve">en </w:t>
            </w:r>
            <w:r w:rsidR="00580A56" w:rsidRPr="00580A56">
              <w:rPr>
                <w:lang w:val="fr-CH"/>
              </w:rPr>
              <w:t>utilisant des additifs chimiques dans les</w:t>
            </w:r>
            <w:r w:rsidR="00580A56" w:rsidRPr="00A62213">
              <w:rPr>
                <w:lang w:val="fr-CH"/>
              </w:rPr>
              <w:t xml:space="preserve"> </w:t>
            </w:r>
            <w:r w:rsidR="00A62213">
              <w:rPr>
                <w:lang w:val="fr-CH"/>
              </w:rPr>
              <w:t>cigarettes (</w:t>
            </w:r>
            <w:r w:rsidR="00D21A47" w:rsidRPr="00D21A47">
              <w:rPr>
                <w:lang w:val="fr-CH"/>
              </w:rPr>
              <w:t>Tobacco additives, cigarette engineering and nicotine addiction, Action on Smoking and Health, UK (ash.org.uk)</w:t>
            </w:r>
            <w:r w:rsidR="00D21A47">
              <w:rPr>
                <w:lang w:val="fr-CH"/>
              </w:rPr>
              <w:t>, 1999 (</w:t>
            </w:r>
            <w:hyperlink r:id="rId19" w:history="1">
              <w:r w:rsidR="00D21A47" w:rsidRPr="00D21A47">
                <w:rPr>
                  <w:rStyle w:val="Lienhypertexte"/>
                  <w:lang w:val="fr-CH"/>
                </w:rPr>
                <w:t>rapport disponible en français</w:t>
              </w:r>
            </w:hyperlink>
            <w:r w:rsidR="00D21A47">
              <w:rPr>
                <w:lang w:val="fr-CH"/>
              </w:rPr>
              <w:t>)</w:t>
            </w:r>
            <w:r w:rsidR="00A62213">
              <w:rPr>
                <w:lang w:val="fr-CH"/>
              </w:rPr>
              <w:t xml:space="preserve"> ; </w:t>
            </w:r>
            <w:r w:rsidR="00A62213" w:rsidRPr="00A62213">
              <w:rPr>
                <w:lang w:val="fr-CH"/>
              </w:rPr>
              <w:t>Michael Rabinoff, Nicholas Caskey, Anthony Rissling, and Candice Park, Pharmacological and Chemical Effects of Cigarette Additives</w:t>
            </w:r>
            <w:r w:rsidR="00A62213">
              <w:rPr>
                <w:lang w:val="fr-CH"/>
              </w:rPr>
              <w:t xml:space="preserve">, </w:t>
            </w:r>
            <w:r w:rsidR="00A62213" w:rsidRPr="00A62213">
              <w:rPr>
                <w:lang w:val="fr-CH"/>
              </w:rPr>
              <w:t xml:space="preserve">Am J Public Health. 2007;97:1981–1991. doi:10.2105/AJPH.2005.078014 ; Addictiveness and Attractiveness of Tobacco Additives, Scientific Committee on Emerging and Newly Identified Health Risks (SCENIHR), Commission européenne, 12 November 2010) </w:t>
            </w:r>
            <w:r w:rsidRPr="00580A56">
              <w:rPr>
                <w:lang w:val="fr-CH"/>
              </w:rPr>
              <w:t xml:space="preserve">ou leur conception (voir à ce propos la plainte </w:t>
            </w:r>
            <w:r w:rsidR="000E7B22" w:rsidRPr="00580A56">
              <w:rPr>
                <w:lang w:val="fr-CH"/>
              </w:rPr>
              <w:t xml:space="preserve">récemment </w:t>
            </w:r>
            <w:r w:rsidRPr="00580A56">
              <w:rPr>
                <w:lang w:val="fr-CH"/>
              </w:rPr>
              <w:t xml:space="preserve">déposée en France contre 4 fabricants pour avoir manipulé les filtres de cigarettes en trompant sciemment les </w:t>
            </w:r>
            <w:r w:rsidRPr="00891C58">
              <w:rPr>
                <w:rFonts w:cs="Arial"/>
                <w:color w:val="000000"/>
                <w:lang w:val="fr-CH" w:eastAsia="de-DE"/>
              </w:rPr>
              <w:t>consommateurs</w:t>
            </w:r>
            <w:r w:rsidRPr="00580A56">
              <w:rPr>
                <w:lang w:val="fr-CH"/>
              </w:rPr>
              <w:t xml:space="preserve"> sur les quantités de nicotine et de goudrons auxquelles ils sont exposés). </w:t>
            </w:r>
            <w:r w:rsidR="005A7EC3" w:rsidRPr="00580A56">
              <w:rPr>
                <w:lang w:val="fr-CH"/>
              </w:rPr>
              <w:t>L</w:t>
            </w:r>
            <w:r w:rsidR="005A7EC3" w:rsidRPr="00786839">
              <w:rPr>
                <w:lang w:val="fr-CH"/>
              </w:rPr>
              <w:t>’AP-LPTab ne tient pas compte de cette réalité et instaure un environnement qui n’est pas favorable</w:t>
            </w:r>
            <w:r w:rsidR="00580A56">
              <w:rPr>
                <w:lang w:val="fr-CH"/>
              </w:rPr>
              <w:t xml:space="preserve"> aux libertés et à la santé de la population</w:t>
            </w:r>
            <w:r w:rsidR="000E7B22" w:rsidRPr="00C1664E">
              <w:rPr>
                <w:lang w:val="fr-CH"/>
              </w:rPr>
              <w:t>.</w:t>
            </w:r>
          </w:p>
        </w:tc>
      </w:tr>
      <w:tr w:rsidR="005A7EC3" w:rsidRPr="00254B1B">
        <w:tc>
          <w:tcPr>
            <w:tcW w:w="1450" w:type="dxa"/>
          </w:tcPr>
          <w:p w:rsidR="005A7EC3" w:rsidRPr="00CB218F" w:rsidRDefault="008B6C89" w:rsidP="005A7EC3">
            <w:pPr>
              <w:spacing w:before="120" w:after="120"/>
              <w:rPr>
                <w:rFonts w:cs="Arial"/>
                <w:szCs w:val="24"/>
                <w:lang w:val="fr-CH"/>
              </w:rPr>
            </w:pPr>
            <w:r>
              <w:rPr>
                <w:rFonts w:cs="Arial"/>
                <w:szCs w:val="24"/>
                <w:lang w:val="fr-CH"/>
              </w:rPr>
              <w:lastRenderedPageBreak/>
              <w:t>….</w:t>
            </w:r>
          </w:p>
        </w:tc>
        <w:tc>
          <w:tcPr>
            <w:tcW w:w="13336" w:type="dxa"/>
          </w:tcPr>
          <w:p w:rsidR="005A7EC3" w:rsidRPr="00786839" w:rsidRDefault="005A7EC3" w:rsidP="005A7EC3">
            <w:pPr>
              <w:widowControl w:val="0"/>
              <w:autoSpaceDE w:val="0"/>
              <w:autoSpaceDN w:val="0"/>
              <w:adjustRightInd w:val="0"/>
              <w:spacing w:after="120"/>
              <w:rPr>
                <w:rFonts w:cs="Arial"/>
                <w:b/>
                <w:color w:val="000000"/>
                <w:lang w:val="fr-CH" w:eastAsia="de-DE"/>
              </w:rPr>
            </w:pPr>
            <w:r w:rsidRPr="00786839">
              <w:rPr>
                <w:rFonts w:cs="Arial"/>
                <w:b/>
                <w:color w:val="000000"/>
                <w:lang w:val="fr-CH" w:eastAsia="de-DE"/>
              </w:rPr>
              <w:t>Contrôle des produits du tabac et lutte contre le commerce illégal</w:t>
            </w:r>
          </w:p>
          <w:p w:rsidR="00B35EF2" w:rsidRPr="00314B7F" w:rsidRDefault="005A7EC3" w:rsidP="00B35EF2">
            <w:pPr>
              <w:spacing w:after="120"/>
              <w:jc w:val="both"/>
              <w:rPr>
                <w:rFonts w:cs="Arial"/>
                <w:color w:val="000000"/>
                <w:lang w:val="fr-CH" w:eastAsia="de-DE"/>
              </w:rPr>
            </w:pPr>
            <w:r w:rsidRPr="00786839">
              <w:rPr>
                <w:rFonts w:cs="Arial"/>
                <w:color w:val="000000"/>
                <w:lang w:val="fr-CH" w:eastAsia="de-DE"/>
              </w:rPr>
              <w:t>Dans l’ava</w:t>
            </w:r>
            <w:r w:rsidR="00314B7F">
              <w:rPr>
                <w:rFonts w:cs="Arial"/>
                <w:color w:val="000000"/>
                <w:lang w:val="fr-CH" w:eastAsia="de-DE"/>
              </w:rPr>
              <w:t>nt-projet du Parlement fédéral</w:t>
            </w:r>
            <w:r w:rsidRPr="00786839">
              <w:rPr>
                <w:rFonts w:cs="Arial"/>
                <w:color w:val="000000"/>
                <w:lang w:val="fr-CH" w:eastAsia="de-DE"/>
              </w:rPr>
              <w:t>, on a renoncé à prendre des mesures de lutte contre le commerce illicite de produits du tabac. Le protocole pour éliminer le commerce illicite des produits du tabac de 2012 prescrit comme norme un système permettant de surveiller et de suivre sans discontinuité les produits du tabac. Ce protocole est le premier accord complémentaire relatif à la Convention-cadre internationale de l’Organisation mondiale de la</w:t>
            </w:r>
            <w:r w:rsidR="00B35EF2">
              <w:rPr>
                <w:rFonts w:cs="Arial"/>
                <w:color w:val="000000"/>
                <w:lang w:val="fr-CH" w:eastAsia="de-DE"/>
              </w:rPr>
              <w:t xml:space="preserve"> santé pour la lutte antitabac. </w:t>
            </w:r>
            <w:r w:rsidR="00B35EF2" w:rsidRPr="00314B7F">
              <w:rPr>
                <w:rFonts w:cs="Arial"/>
                <w:color w:val="000000"/>
                <w:lang w:val="fr-CH" w:eastAsia="de-DE"/>
              </w:rPr>
              <w:t xml:space="preserve">L’AP-LPTab est non seulement non conforme à cette convention, mais il crée les conditions pour que la Suisse devienne la plaque tournante d’un trafic de produits </w:t>
            </w:r>
            <w:r w:rsidR="00DE470D" w:rsidRPr="00314B7F">
              <w:rPr>
                <w:rFonts w:cs="Arial"/>
                <w:color w:val="000000"/>
                <w:lang w:val="fr-CH" w:eastAsia="de-DE"/>
              </w:rPr>
              <w:t>du tabac potentiellement non conformes au droit des pays de destination. Un contrôle minimal des produits du tabac destinés à l’exportation doit ainsi être maintenu, l’objectif étant que la Suisse se conforme à terme aux standards internationaux.</w:t>
            </w:r>
          </w:p>
          <w:p w:rsidR="005A7EC3" w:rsidRPr="00786839" w:rsidRDefault="00905ED7" w:rsidP="00B35EF2">
            <w:pPr>
              <w:spacing w:after="120"/>
              <w:jc w:val="both"/>
              <w:rPr>
                <w:rFonts w:cs="Arial"/>
                <w:color w:val="000000"/>
                <w:lang w:val="fr-CH" w:eastAsia="de-DE"/>
              </w:rPr>
            </w:pPr>
            <w:r w:rsidRPr="00314B7F">
              <w:rPr>
                <w:rFonts w:cs="Arial"/>
                <w:color w:val="000000"/>
                <w:lang w:val="fr-CH" w:eastAsia="de-DE"/>
              </w:rPr>
              <w:t xml:space="preserve">Le droit à la santé est consacré comme </w:t>
            </w:r>
            <w:r w:rsidR="00BC7315" w:rsidRPr="00314B7F">
              <w:rPr>
                <w:rFonts w:cs="Arial"/>
                <w:color w:val="000000"/>
                <w:lang w:val="fr-CH" w:eastAsia="de-DE"/>
              </w:rPr>
              <w:t>un important objectif de développement durable (</w:t>
            </w:r>
            <w:hyperlink r:id="rId20" w:history="1">
              <w:r w:rsidR="00BC7315" w:rsidRPr="00314B7F">
                <w:rPr>
                  <w:rStyle w:val="Lienhypertexte"/>
                  <w:rFonts w:cs="Arial"/>
                  <w:lang w:val="fr-CH" w:eastAsia="de-DE"/>
                </w:rPr>
                <w:t>ODD 3</w:t>
              </w:r>
            </w:hyperlink>
            <w:r w:rsidR="004A4DC0">
              <w:rPr>
                <w:rFonts w:cs="Arial"/>
                <w:color w:val="000000"/>
                <w:lang w:val="fr-CH" w:eastAsia="de-DE"/>
              </w:rPr>
              <w:t> </w:t>
            </w:r>
            <w:r w:rsidR="00BC7315" w:rsidRPr="00314B7F">
              <w:rPr>
                <w:rFonts w:cs="Arial"/>
                <w:color w:val="000000"/>
                <w:lang w:val="fr-CH" w:eastAsia="de-DE"/>
              </w:rPr>
              <w:t xml:space="preserve">: Permettre à tous de vivre en bonne santé et promouvoir le bien-être de tous à tout âge). Il est </w:t>
            </w:r>
            <w:r w:rsidR="00F27144" w:rsidRPr="00314B7F">
              <w:rPr>
                <w:rFonts w:cs="Arial"/>
                <w:color w:val="000000"/>
                <w:lang w:val="fr-CH" w:eastAsia="de-DE"/>
              </w:rPr>
              <w:t xml:space="preserve">internationalement </w:t>
            </w:r>
            <w:r w:rsidR="00BC7315" w:rsidRPr="00314B7F">
              <w:rPr>
                <w:rFonts w:cs="Arial"/>
                <w:color w:val="000000"/>
                <w:lang w:val="fr-CH" w:eastAsia="de-DE"/>
              </w:rPr>
              <w:t xml:space="preserve">reconnu qu’une politique stricte en matière de contrôle du tabac est </w:t>
            </w:r>
            <w:r w:rsidR="00DE470D" w:rsidRPr="00314B7F">
              <w:rPr>
                <w:rFonts w:cs="Arial"/>
                <w:color w:val="000000"/>
                <w:lang w:val="fr-CH" w:eastAsia="de-DE"/>
              </w:rPr>
              <w:t>l’</w:t>
            </w:r>
            <w:r w:rsidR="00BC7315" w:rsidRPr="00314B7F">
              <w:rPr>
                <w:rFonts w:cs="Arial"/>
                <w:color w:val="000000"/>
                <w:lang w:val="fr-CH" w:eastAsia="de-DE"/>
              </w:rPr>
              <w:t>un des domaines où les gains de santé pour la population sont les plus élevés. L’Europe fait un effort particulier dans cette direction. Elle interdit la fabrication sur son territoire de produits du tabac qui ne répondent pas aux standards minimaux, même pour l’exportation en dehors de l’Europe. Le droit suisse n’</w:t>
            </w:r>
            <w:r w:rsidR="00B35EF2" w:rsidRPr="00314B7F">
              <w:rPr>
                <w:rFonts w:cs="Arial"/>
                <w:color w:val="000000"/>
                <w:lang w:val="fr-CH" w:eastAsia="de-DE"/>
              </w:rPr>
              <w:t xml:space="preserve">a pas une telle restriction. Il se limite à exiger le respect du droit applicable dans le pays de destination. </w:t>
            </w:r>
            <w:r w:rsidR="00BC7315" w:rsidRPr="00314B7F">
              <w:rPr>
                <w:rFonts w:cs="Arial"/>
                <w:color w:val="000000"/>
                <w:lang w:val="fr-CH" w:eastAsia="de-DE"/>
              </w:rPr>
              <w:t>Ceci explique l</w:t>
            </w:r>
            <w:r w:rsidR="00B35EF2" w:rsidRPr="00314B7F">
              <w:rPr>
                <w:rFonts w:cs="Arial"/>
                <w:color w:val="000000"/>
                <w:lang w:val="fr-CH" w:eastAsia="de-DE"/>
              </w:rPr>
              <w:t>a forte augumentation</w:t>
            </w:r>
            <w:r w:rsidR="00DE470D" w:rsidRPr="00314B7F">
              <w:rPr>
                <w:rFonts w:cs="Arial"/>
                <w:color w:val="000000"/>
                <w:lang w:val="fr-CH" w:eastAsia="de-DE"/>
              </w:rPr>
              <w:t xml:space="preserve">, </w:t>
            </w:r>
            <w:r w:rsidR="00314B7F" w:rsidRPr="00314B7F">
              <w:rPr>
                <w:rFonts w:cs="Arial"/>
                <w:color w:val="000000"/>
                <w:lang w:val="fr-CH" w:eastAsia="de-DE"/>
              </w:rPr>
              <w:t>ces-dernières</w:t>
            </w:r>
            <w:r w:rsidR="00DE470D" w:rsidRPr="00314B7F">
              <w:rPr>
                <w:rFonts w:cs="Arial"/>
                <w:color w:val="000000"/>
                <w:lang w:val="fr-CH" w:eastAsia="de-DE"/>
              </w:rPr>
              <w:t xml:space="preserve"> années,</w:t>
            </w:r>
            <w:r w:rsidR="00B35EF2" w:rsidRPr="00314B7F">
              <w:rPr>
                <w:rFonts w:cs="Arial"/>
                <w:color w:val="000000"/>
                <w:lang w:val="fr-CH" w:eastAsia="de-DE"/>
              </w:rPr>
              <w:t xml:space="preserve"> des </w:t>
            </w:r>
            <w:r w:rsidR="00BC7315" w:rsidRPr="00314B7F">
              <w:rPr>
                <w:rFonts w:cs="Arial"/>
                <w:color w:val="000000"/>
                <w:lang w:val="fr-CH" w:eastAsia="de-DE"/>
              </w:rPr>
              <w:t>exportation</w:t>
            </w:r>
            <w:r w:rsidR="00B35EF2" w:rsidRPr="00314B7F">
              <w:rPr>
                <w:rFonts w:cs="Arial"/>
                <w:color w:val="000000"/>
                <w:lang w:val="fr-CH" w:eastAsia="de-DE"/>
              </w:rPr>
              <w:t>s</w:t>
            </w:r>
            <w:r w:rsidR="00BC7315" w:rsidRPr="00314B7F">
              <w:rPr>
                <w:rFonts w:cs="Arial"/>
                <w:color w:val="000000"/>
                <w:lang w:val="fr-CH" w:eastAsia="de-DE"/>
              </w:rPr>
              <w:t xml:space="preserve"> de cigarettes dont près de 80% </w:t>
            </w:r>
            <w:r w:rsidR="00F27144" w:rsidRPr="00314B7F">
              <w:rPr>
                <w:rFonts w:cs="Arial"/>
                <w:color w:val="000000"/>
                <w:lang w:val="fr-CH" w:eastAsia="de-DE"/>
              </w:rPr>
              <w:t>son</w:t>
            </w:r>
            <w:r w:rsidR="00B35EF2" w:rsidRPr="00314B7F">
              <w:rPr>
                <w:rFonts w:cs="Arial"/>
                <w:color w:val="000000"/>
                <w:lang w:val="fr-CH" w:eastAsia="de-DE"/>
              </w:rPr>
              <w:t>t</w:t>
            </w:r>
            <w:r w:rsidR="00F27144" w:rsidRPr="00314B7F">
              <w:rPr>
                <w:rFonts w:cs="Arial"/>
                <w:color w:val="000000"/>
                <w:lang w:val="fr-CH" w:eastAsia="de-DE"/>
              </w:rPr>
              <w:t xml:space="preserve"> </w:t>
            </w:r>
            <w:r w:rsidR="00BC7315" w:rsidRPr="00314B7F">
              <w:rPr>
                <w:rFonts w:cs="Arial"/>
                <w:color w:val="000000"/>
                <w:lang w:val="fr-CH" w:eastAsia="de-DE"/>
              </w:rPr>
              <w:t>destinés au Moyen-Orient et à l’Asie. Selon le SECO, cela représentait en 2016 561 milllions CHF, presqu</w:t>
            </w:r>
            <w:r w:rsidR="00026860">
              <w:rPr>
                <w:rFonts w:cs="Arial"/>
                <w:color w:val="000000"/>
                <w:lang w:val="fr-CH" w:eastAsia="de-DE"/>
              </w:rPr>
              <w:t xml:space="preserve">e </w:t>
            </w:r>
            <w:r w:rsidR="00BC7315" w:rsidRPr="00314B7F">
              <w:rPr>
                <w:rFonts w:cs="Arial"/>
                <w:color w:val="000000"/>
                <w:lang w:val="fr-CH" w:eastAsia="de-DE"/>
              </w:rPr>
              <w:t>autant que les exportations de fromage (578 milllions CHF</w:t>
            </w:r>
            <w:r w:rsidR="00DE470D" w:rsidRPr="00314B7F">
              <w:rPr>
                <w:rFonts w:cs="Arial"/>
                <w:color w:val="000000"/>
                <w:lang w:val="fr-CH" w:eastAsia="de-DE"/>
              </w:rPr>
              <w:t>) et largement plus que</w:t>
            </w:r>
            <w:r w:rsidR="00BC7315" w:rsidRPr="00314B7F">
              <w:rPr>
                <w:rFonts w:cs="Arial"/>
                <w:color w:val="000000"/>
                <w:lang w:val="fr-CH" w:eastAsia="de-DE"/>
              </w:rPr>
              <w:t xml:space="preserve"> les importations d’armes (412 milllions CHF)</w:t>
            </w:r>
            <w:r w:rsidR="00F27144" w:rsidRPr="00314B7F">
              <w:rPr>
                <w:rFonts w:cs="Arial"/>
                <w:color w:val="000000"/>
                <w:lang w:val="fr-CH" w:eastAsia="de-DE"/>
              </w:rPr>
              <w:t xml:space="preserve">. </w:t>
            </w:r>
            <w:r w:rsidR="00B35EF2" w:rsidRPr="00314B7F">
              <w:rPr>
                <w:rFonts w:cs="Arial"/>
                <w:color w:val="000000"/>
                <w:lang w:val="fr-CH" w:eastAsia="de-DE"/>
              </w:rPr>
              <w:t>En faisant tomber la maigre protection apportée par l’exigence du respect du droit applicable d</w:t>
            </w:r>
            <w:r w:rsidR="00DE470D" w:rsidRPr="00314B7F">
              <w:rPr>
                <w:rFonts w:cs="Arial"/>
                <w:color w:val="000000"/>
                <w:lang w:val="fr-CH" w:eastAsia="de-DE"/>
              </w:rPr>
              <w:t>ans le pays de destination, l’AP-LPTab</w:t>
            </w:r>
            <w:r w:rsidR="00B35EF2" w:rsidRPr="00314B7F">
              <w:rPr>
                <w:rFonts w:cs="Arial"/>
                <w:color w:val="000000"/>
                <w:lang w:val="fr-CH" w:eastAsia="de-DE"/>
              </w:rPr>
              <w:t xml:space="preserve"> enlève tout moyen pour les autorités suisses de pouvoir intervenir de manière préventive pour protéger les consommateurs dans les pays où les cigarettes suisses sont exportées.</w:t>
            </w:r>
            <w:r w:rsidR="00DE470D" w:rsidRPr="00314B7F">
              <w:rPr>
                <w:rFonts w:cs="Arial"/>
                <w:color w:val="000000"/>
                <w:lang w:val="fr-CH" w:eastAsia="de-DE"/>
              </w:rPr>
              <w:t xml:space="preserve"> Une telle politique va directement à contre-courant par rapport aux contrôles toujours plus sévères mis en place à bon escient dans le domaine des produits thérapeutiques et des denrées alimentaires</w:t>
            </w:r>
            <w:r w:rsidR="000E7B22" w:rsidRPr="00314B7F">
              <w:rPr>
                <w:rFonts w:cs="Arial"/>
                <w:color w:val="000000"/>
                <w:lang w:val="fr-CH" w:eastAsia="de-DE"/>
              </w:rPr>
              <w:t xml:space="preserve">. </w:t>
            </w:r>
            <w:r w:rsidR="00DE470D" w:rsidRPr="00314B7F">
              <w:rPr>
                <w:rFonts w:cs="Arial"/>
                <w:color w:val="000000"/>
                <w:lang w:val="fr-CH" w:eastAsia="de-DE"/>
              </w:rPr>
              <w:t xml:space="preserve">Cela est </w:t>
            </w:r>
            <w:r w:rsidR="00DE470D" w:rsidRPr="00314B7F">
              <w:rPr>
                <w:rFonts w:cs="Arial"/>
                <w:color w:val="000000"/>
                <w:lang w:val="fr-CH" w:eastAsia="de-DE"/>
              </w:rPr>
              <w:lastRenderedPageBreak/>
              <w:t>d’autant plus choquant que cela fragilise la capacité des pays qui entendent contrôler les produits du tabac selon les standards internationaux. L’AP-LPTab placerait la Suisse dans la position des rares pays prêts à agir sciemment à leur encontre sans considération pour ses engagements internati</w:t>
            </w:r>
            <w:r w:rsidR="00C1664E" w:rsidRPr="00314B7F">
              <w:rPr>
                <w:rFonts w:cs="Arial"/>
                <w:color w:val="000000"/>
                <w:lang w:val="fr-CH" w:eastAsia="de-DE"/>
              </w:rPr>
              <w:t xml:space="preserve">onaux en matière </w:t>
            </w:r>
            <w:r w:rsidR="00314B7F" w:rsidRPr="00314B7F">
              <w:rPr>
                <w:rFonts w:cs="Arial"/>
                <w:color w:val="000000"/>
                <w:lang w:val="fr-CH" w:eastAsia="de-DE"/>
              </w:rPr>
              <w:t xml:space="preserve">des droits de l’Homme. Cela porte atteinte à la crédibilité de la Suisse </w:t>
            </w:r>
            <w:r w:rsidR="00314B7F">
              <w:rPr>
                <w:rFonts w:cs="Arial"/>
                <w:color w:val="000000"/>
                <w:lang w:val="fr-CH" w:eastAsia="de-DE"/>
              </w:rPr>
              <w:t xml:space="preserve">face à </w:t>
            </w:r>
            <w:r w:rsidR="00314B7F" w:rsidRPr="00314B7F">
              <w:rPr>
                <w:rFonts w:cs="Arial"/>
                <w:color w:val="000000"/>
                <w:lang w:val="fr-CH" w:eastAsia="de-DE"/>
              </w:rPr>
              <w:t xml:space="preserve">ses responsabilités dans </w:t>
            </w:r>
            <w:r w:rsidR="00DE470D" w:rsidRPr="00314B7F">
              <w:rPr>
                <w:rFonts w:cs="Arial"/>
                <w:color w:val="000000"/>
                <w:lang w:val="fr-CH" w:eastAsia="de-DE"/>
              </w:rPr>
              <w:t>le cadre de l’agenda 2030.</w:t>
            </w:r>
          </w:p>
          <w:p w:rsidR="005A7EC3" w:rsidRPr="00786839" w:rsidRDefault="005A7EC3" w:rsidP="005A7EC3">
            <w:pPr>
              <w:spacing w:after="120"/>
              <w:jc w:val="both"/>
              <w:rPr>
                <w:rFonts w:cs="Arial"/>
                <w:szCs w:val="24"/>
                <w:lang w:val="fr-CH"/>
              </w:rPr>
            </w:pPr>
            <w:r w:rsidRPr="00786839">
              <w:rPr>
                <w:rFonts w:cs="Arial"/>
                <w:szCs w:val="24"/>
                <w:lang w:val="fr-CH"/>
              </w:rPr>
              <w:t>Des marques de sécurité non falsifiables permettent aux autorités comme la douane ou la police de distinguer les produits véritables des produits de contrebande ou contrefaits tout au long de la chaîne de commercialisation</w:t>
            </w:r>
            <w:r w:rsidR="00026860">
              <w:rPr>
                <w:rFonts w:cs="Arial"/>
                <w:szCs w:val="24"/>
                <w:lang w:val="fr-CH"/>
              </w:rPr>
              <w:t>,</w:t>
            </w:r>
            <w:r w:rsidRPr="00786839">
              <w:rPr>
                <w:rFonts w:cs="Arial"/>
                <w:szCs w:val="24"/>
                <w:lang w:val="fr-CH"/>
              </w:rPr>
              <w:t xml:space="preserve"> de même que de contrôler que l’impôt sur le tabac a bel et bien été payé. Afin de garantir une procédure indépendante et transparente, le contrôle des modes de production et de distribution doit être réalisé par des organisations tierces indépendantes et non pas par l’industrie du tabac elle-même.</w:t>
            </w:r>
          </w:p>
          <w:p w:rsidR="00A15EE7" w:rsidRPr="00786839" w:rsidRDefault="005A7EC3" w:rsidP="00F66E84">
            <w:pPr>
              <w:spacing w:after="120"/>
              <w:jc w:val="both"/>
              <w:rPr>
                <w:rFonts w:cs="Arial"/>
                <w:color w:val="000000"/>
                <w:lang w:val="fr-CH" w:eastAsia="de-DE"/>
              </w:rPr>
            </w:pPr>
            <w:r w:rsidRPr="00786839">
              <w:rPr>
                <w:rFonts w:cs="Arial"/>
                <w:szCs w:val="24"/>
                <w:lang w:val="fr-CH"/>
              </w:rPr>
              <w:t xml:space="preserve">Un système de traçabilité de ce type est également indispensable en Suisse. Certes, la contrebande de cigarettes et le commerce de produits du tabac contrefaits n’ont qu’une importance secondaire dans notre pays actuellement. </w:t>
            </w:r>
            <w:r w:rsidR="00A15EE7">
              <w:rPr>
                <w:rFonts w:cs="Arial"/>
                <w:szCs w:val="24"/>
                <w:lang w:val="fr-CH"/>
              </w:rPr>
              <w:t>Une forte augmentation des taxes, telle que préconisé</w:t>
            </w:r>
            <w:r w:rsidR="00EF6C4C">
              <w:rPr>
                <w:rFonts w:cs="Arial"/>
                <w:szCs w:val="24"/>
                <w:lang w:val="fr-CH"/>
              </w:rPr>
              <w:t>e</w:t>
            </w:r>
            <w:r w:rsidR="00A15EE7">
              <w:rPr>
                <w:rFonts w:cs="Arial"/>
                <w:szCs w:val="24"/>
                <w:lang w:val="fr-CH"/>
              </w:rPr>
              <w:t xml:space="preserve"> selon les standards internationaux, présente toutefois le risque d’augmenter cette problèmatique</w:t>
            </w:r>
            <w:r w:rsidR="00E93F1A">
              <w:rPr>
                <w:rFonts w:cs="Arial"/>
                <w:szCs w:val="24"/>
                <w:lang w:val="fr-CH"/>
              </w:rPr>
              <w:t xml:space="preserve"> comme le démontre l’expérience canadienne</w:t>
            </w:r>
            <w:r w:rsidR="00A15EE7">
              <w:rPr>
                <w:rFonts w:cs="Arial"/>
                <w:szCs w:val="24"/>
                <w:lang w:val="fr-CH"/>
              </w:rPr>
              <w:t>. Il est ainsi d’autant plus indispensable de se donner les moyens d’en limiter l’impact. L</w:t>
            </w:r>
            <w:r w:rsidRPr="00786839">
              <w:rPr>
                <w:rFonts w:cs="Arial"/>
                <w:szCs w:val="24"/>
                <w:lang w:val="fr-CH"/>
              </w:rPr>
              <w:t xml:space="preserve">e système de traçabilité permettrait de contrôler efficacement et de réagir suffisamment tôt à tout éventuel développement de commerce illicite. Une non-participation de la Suisse entraînerait des failles dans la collaboration internationale douanière et policière. En l’état, l’AP-LPTab va à l’encontre de ses engagements internationaux en contradiction avec sa vocation </w:t>
            </w:r>
            <w:r w:rsidR="00C1664E">
              <w:rPr>
                <w:rFonts w:cs="Arial"/>
                <w:szCs w:val="24"/>
                <w:lang w:val="fr-CH"/>
              </w:rPr>
              <w:t xml:space="preserve">humanitaire et </w:t>
            </w:r>
            <w:r w:rsidR="00DE470D">
              <w:rPr>
                <w:rFonts w:cs="Arial"/>
                <w:szCs w:val="24"/>
                <w:lang w:val="fr-CH"/>
              </w:rPr>
              <w:t>des droits de l’Homme, en particulier dans le cadre de l’agenda 2030</w:t>
            </w:r>
            <w:r w:rsidRPr="00786839">
              <w:rPr>
                <w:rFonts w:cs="Arial"/>
                <w:szCs w:val="24"/>
                <w:lang w:val="fr-CH"/>
              </w:rPr>
              <w:t xml:space="preserve">. De plus, il existe un risque réel que les consommateurs puissent être trompé en achetant des cigarettes suisses en pensant qu’elles </w:t>
            </w:r>
            <w:r w:rsidR="00E93F1A">
              <w:rPr>
                <w:rFonts w:cs="Arial"/>
                <w:szCs w:val="24"/>
                <w:lang w:val="fr-CH"/>
              </w:rPr>
              <w:t>sont</w:t>
            </w:r>
            <w:r w:rsidR="008F6422">
              <w:rPr>
                <w:rFonts w:cs="Arial"/>
                <w:szCs w:val="24"/>
                <w:lang w:val="fr-CH"/>
              </w:rPr>
              <w:t xml:space="preserve"> moins nocives</w:t>
            </w:r>
            <w:r w:rsidRPr="00786839">
              <w:rPr>
                <w:rFonts w:cs="Arial"/>
                <w:szCs w:val="24"/>
                <w:lang w:val="fr-CH"/>
              </w:rPr>
              <w:t xml:space="preserve"> alors qu’elles ne sont pas conformes au droit suisse et qu’il n’existe aucune garantie qu’elles soient confor</w:t>
            </w:r>
            <w:r w:rsidRPr="00E93F1A">
              <w:rPr>
                <w:rFonts w:cs="Arial"/>
                <w:szCs w:val="24"/>
                <w:lang w:val="fr-CH"/>
              </w:rPr>
              <w:t xml:space="preserve">mes au droit du pays de destination. </w:t>
            </w:r>
            <w:r w:rsidR="000E7B22" w:rsidRPr="00E93F1A">
              <w:rPr>
                <w:rFonts w:cs="Arial"/>
                <w:color w:val="000000"/>
                <w:lang w:val="fr-CH" w:eastAsia="de-DE"/>
              </w:rPr>
              <w:t>Cela contredit le principe-même du Swiss made fondé sur des critères élevés de qualité.</w:t>
            </w:r>
          </w:p>
        </w:tc>
      </w:tr>
      <w:tr w:rsidR="005A7EC3" w:rsidRPr="00254B1B">
        <w:tc>
          <w:tcPr>
            <w:tcW w:w="1450" w:type="dxa"/>
          </w:tcPr>
          <w:p w:rsidR="005A7EC3" w:rsidRPr="00B7093C" w:rsidRDefault="008B6C89" w:rsidP="00D21A47">
            <w:pPr>
              <w:spacing w:before="120" w:after="120"/>
              <w:rPr>
                <w:rFonts w:cs="Arial"/>
                <w:szCs w:val="24"/>
                <w:lang w:val="fr-CH"/>
              </w:rPr>
            </w:pPr>
            <w:r>
              <w:rPr>
                <w:rFonts w:cs="Arial"/>
                <w:szCs w:val="24"/>
                <w:lang w:val="fr-CH"/>
              </w:rPr>
              <w:lastRenderedPageBreak/>
              <w:t>….</w:t>
            </w:r>
          </w:p>
        </w:tc>
        <w:tc>
          <w:tcPr>
            <w:tcW w:w="13336" w:type="dxa"/>
          </w:tcPr>
          <w:p w:rsidR="00BF5043" w:rsidRPr="00672C96" w:rsidRDefault="00BF5043" w:rsidP="005A7EC3">
            <w:pPr>
              <w:spacing w:before="120" w:after="120"/>
              <w:rPr>
                <w:b/>
                <w:lang w:val="fr-CH"/>
              </w:rPr>
            </w:pPr>
            <w:r w:rsidRPr="00672C96">
              <w:rPr>
                <w:b/>
                <w:lang w:val="fr-CH"/>
              </w:rPr>
              <w:t>Pour une politique de contrôle des produits du tabac avec un rapport coûts-efficacité favorable</w:t>
            </w:r>
          </w:p>
          <w:p w:rsidR="005A7EC3" w:rsidRPr="00EA1AF1" w:rsidRDefault="00BF5043" w:rsidP="00EA1AF1">
            <w:pPr>
              <w:spacing w:before="120" w:after="120"/>
              <w:rPr>
                <w:lang w:val="fr-CH"/>
              </w:rPr>
            </w:pPr>
            <w:r w:rsidRPr="00672C96">
              <w:rPr>
                <w:lang w:val="fr-CH"/>
              </w:rPr>
              <w:t xml:space="preserve">Alors que les milieux économiques s’inquiètent du poids que fait peser sur notre prospérité l’augmentation des coûts dans le système de soins et des primes d’assurance-maladie, ils ne peuvent ignorer que le tabagisme constitue la principale cause </w:t>
            </w:r>
            <w:r w:rsidR="008F6422">
              <w:rPr>
                <w:lang w:val="fr-CH"/>
              </w:rPr>
              <w:t xml:space="preserve">évitable </w:t>
            </w:r>
            <w:r w:rsidR="001B3E17">
              <w:rPr>
                <w:lang w:val="fr-CH"/>
              </w:rPr>
              <w:t xml:space="preserve">de </w:t>
            </w:r>
            <w:r w:rsidR="008F6422">
              <w:rPr>
                <w:lang w:val="fr-CH"/>
              </w:rPr>
              <w:t>maladie</w:t>
            </w:r>
            <w:r w:rsidRPr="00672C96">
              <w:rPr>
                <w:lang w:val="fr-CH"/>
              </w:rPr>
              <w:t xml:space="preserve"> </w:t>
            </w:r>
            <w:r w:rsidR="00891C58">
              <w:rPr>
                <w:lang w:val="fr-CH"/>
              </w:rPr>
              <w:t xml:space="preserve">et de décès </w:t>
            </w:r>
            <w:r w:rsidRPr="00672C96">
              <w:rPr>
                <w:lang w:val="fr-CH"/>
              </w:rPr>
              <w:t>en Suisse avec un important nombre d’années de vie perdues</w:t>
            </w:r>
            <w:r w:rsidR="00891C58">
              <w:rPr>
                <w:lang w:val="fr-CH"/>
              </w:rPr>
              <w:t xml:space="preserve"> et des coûts élevé</w:t>
            </w:r>
            <w:r w:rsidR="00D60322">
              <w:rPr>
                <w:lang w:val="fr-CH"/>
              </w:rPr>
              <w:t xml:space="preserve">s pour le système de soins. </w:t>
            </w:r>
            <w:r w:rsidRPr="00672C96">
              <w:rPr>
                <w:lang w:val="fr-CH"/>
              </w:rPr>
              <w:t xml:space="preserve">Le nombre potentiel d’années de vie gagnées </w:t>
            </w:r>
            <w:r w:rsidR="00D60322">
              <w:rPr>
                <w:lang w:val="fr-CH"/>
              </w:rPr>
              <w:t>à travers</w:t>
            </w:r>
            <w:r w:rsidR="00D60322" w:rsidRPr="00672C96">
              <w:rPr>
                <w:lang w:val="fr-CH"/>
              </w:rPr>
              <w:t xml:space="preserve"> </w:t>
            </w:r>
            <w:r w:rsidRPr="00672C96">
              <w:rPr>
                <w:lang w:val="fr-CH"/>
              </w:rPr>
              <w:t>l’arrêt du tabac est ainsi tout aussi important, même pour des fumeurs plus âgés (Jha and Peto 2014 N Engl J Med 2014;370:60-8.DOI: 10.1056/NEJMra1308383). Du point de vue de l’économie de la santé, les mesures de prévention du tabagisme et celles encourageant l’arrêt</w:t>
            </w:r>
            <w:r w:rsidR="004E0C7B">
              <w:rPr>
                <w:lang w:val="fr-CH"/>
              </w:rPr>
              <w:t xml:space="preserve"> de la fumée </w:t>
            </w:r>
            <w:r w:rsidRPr="00672C96">
              <w:rPr>
                <w:lang w:val="fr-CH"/>
              </w:rPr>
              <w:t>apportent des bénéfices conséquents en termes de santé populationnelle au regard de leurs coûts</w:t>
            </w:r>
            <w:r w:rsidR="001F333B">
              <w:rPr>
                <w:lang w:val="fr-CH"/>
              </w:rPr>
              <w:t xml:space="preserve"> (</w:t>
            </w:r>
            <w:r w:rsidR="001F333B" w:rsidRPr="001F333B">
              <w:rPr>
                <w:lang w:val="fr-CH"/>
              </w:rPr>
              <w:t xml:space="preserve">Song F, Raftery J, Aveyard P, et al. </w:t>
            </w:r>
            <w:r w:rsidR="001F333B" w:rsidRPr="00254B1B">
              <w:rPr>
                <w:lang w:val="en-US"/>
              </w:rPr>
              <w:t xml:space="preserve">Cost-effectiveness of pharmacological interventions for smoking cessation: a literature review and a decision analytic analysis. </w:t>
            </w:r>
            <w:r w:rsidR="001F333B" w:rsidRPr="001F333B">
              <w:rPr>
                <w:lang w:val="fr-CH"/>
              </w:rPr>
              <w:t>Med Decis Making 2002;22(Suppl 5):S26–37</w:t>
            </w:r>
            <w:r w:rsidR="001F333B">
              <w:rPr>
                <w:lang w:val="fr-CH"/>
              </w:rPr>
              <w:t xml:space="preserve"> ; </w:t>
            </w:r>
            <w:r w:rsidR="001F333B" w:rsidRPr="001F333B">
              <w:rPr>
                <w:lang w:val="fr-CH"/>
              </w:rPr>
              <w:t>Ranson et al. 2002. “Global and regional estimates of the effectiveness and cost-effectiveness of price increases and other tobacco control policies.” Nicotine</w:t>
            </w:r>
            <w:r w:rsidR="003B2C23">
              <w:rPr>
                <w:lang w:val="fr-CH"/>
              </w:rPr>
              <w:t xml:space="preserve"> and Tobacco Research 4,311-19</w:t>
            </w:r>
            <w:r w:rsidR="001F333B">
              <w:rPr>
                <w:lang w:val="fr-CH"/>
              </w:rPr>
              <w:t>)</w:t>
            </w:r>
            <w:r w:rsidRPr="00672C96">
              <w:rPr>
                <w:lang w:val="fr-CH"/>
              </w:rPr>
              <w:t>. Le rapport coût-efficacité d’une politique stricte de contrôle des produits du tabac est</w:t>
            </w:r>
            <w:r w:rsidR="00C96C99">
              <w:rPr>
                <w:lang w:val="fr-CH"/>
              </w:rPr>
              <w:t xml:space="preserve"> donc</w:t>
            </w:r>
            <w:r w:rsidRPr="00672C96">
              <w:rPr>
                <w:lang w:val="fr-CH"/>
              </w:rPr>
              <w:t xml:space="preserve"> particulièrement positif. En d’autres termes, on ne réduit pas forcément les coûts de la santé à long terme en réduisant le tabagisme, mais réduire le tabagisme à travers </w:t>
            </w:r>
            <w:r w:rsidR="00C96C99">
              <w:rPr>
                <w:lang w:val="fr-CH"/>
              </w:rPr>
              <w:t>des</w:t>
            </w:r>
            <w:r w:rsidR="00C96C99" w:rsidRPr="00672C96">
              <w:rPr>
                <w:lang w:val="fr-CH"/>
              </w:rPr>
              <w:t xml:space="preserve"> </w:t>
            </w:r>
            <w:r w:rsidRPr="00672C96">
              <w:rPr>
                <w:lang w:val="fr-CH"/>
              </w:rPr>
              <w:t>mesures</w:t>
            </w:r>
            <w:r w:rsidR="00C96C99">
              <w:rPr>
                <w:lang w:val="fr-CH"/>
              </w:rPr>
              <w:t xml:space="preserve"> fondées sur les preuves</w:t>
            </w:r>
            <w:r w:rsidRPr="00672C96">
              <w:rPr>
                <w:lang w:val="fr-CH"/>
              </w:rPr>
              <w:t xml:space="preserve"> est une manière efficiente d’améliorer l’état de santé de la population.</w:t>
            </w:r>
          </w:p>
        </w:tc>
      </w:tr>
      <w:tr w:rsidR="005A7EC3" w:rsidRPr="008F6422">
        <w:tc>
          <w:tcPr>
            <w:tcW w:w="1450" w:type="dxa"/>
          </w:tcPr>
          <w:p w:rsidR="005A7EC3" w:rsidRPr="00BF5043" w:rsidRDefault="00A5376D" w:rsidP="00D21A47">
            <w:pPr>
              <w:spacing w:before="120" w:after="120"/>
              <w:rPr>
                <w:rFonts w:cs="Arial"/>
                <w:szCs w:val="24"/>
                <w:lang w:val="fr-CH"/>
              </w:rPr>
            </w:pPr>
            <w:r>
              <w:rPr>
                <w:rFonts w:cs="Arial"/>
                <w:szCs w:val="24"/>
              </w:rPr>
              <w:lastRenderedPageBreak/>
              <w:fldChar w:fldCharType="begin"/>
            </w:r>
            <w:r w:rsidRPr="008F6422">
              <w:rPr>
                <w:rFonts w:cs="Arial"/>
                <w:szCs w:val="24"/>
                <w:lang w:val="fr-CH"/>
              </w:rPr>
              <w:instrText xml:space="preserve"> REF short  \* MERGEFORMAT </w:instrText>
            </w:r>
            <w:r>
              <w:rPr>
                <w:rFonts w:cs="Arial"/>
                <w:szCs w:val="24"/>
              </w:rPr>
              <w:fldChar w:fldCharType="separate"/>
            </w:r>
            <w:r w:rsidRPr="008F6422">
              <w:rPr>
                <w:rFonts w:cs="Arial"/>
                <w:noProof/>
                <w:sz w:val="24"/>
                <w:szCs w:val="24"/>
                <w:lang w:val="fr-CH"/>
              </w:rPr>
              <w:t xml:space="preserve">     </w:t>
            </w:r>
            <w:r>
              <w:rPr>
                <w:rFonts w:cs="Arial"/>
                <w:szCs w:val="24"/>
              </w:rPr>
              <w:fldChar w:fldCharType="end"/>
            </w:r>
          </w:p>
        </w:tc>
        <w:tc>
          <w:tcPr>
            <w:tcW w:w="13336" w:type="dxa"/>
          </w:tcPr>
          <w:p w:rsidR="005A7EC3" w:rsidRPr="008F6422" w:rsidRDefault="00A5376D" w:rsidP="004E0C7B">
            <w:pPr>
              <w:spacing w:before="120" w:after="120"/>
              <w:rPr>
                <w:rFonts w:cs="Arial"/>
                <w:szCs w:val="24"/>
                <w:lang w:val="fr-CH"/>
              </w:rPr>
            </w:pPr>
            <w:r>
              <w:rPr>
                <w:rFonts w:cs="Arial"/>
                <w:szCs w:val="24"/>
              </w:rPr>
              <w:fldChar w:fldCharType="begin">
                <w:ffData>
                  <w:name w:val="Text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r w:rsidR="005A7EC3">
        <w:tc>
          <w:tcPr>
            <w:tcW w:w="1450" w:type="dxa"/>
          </w:tcPr>
          <w:p w:rsidR="005A7EC3" w:rsidRPr="008F6422" w:rsidRDefault="005A7EC3" w:rsidP="005A7EC3">
            <w:pPr>
              <w:spacing w:before="120" w:after="120"/>
              <w:rPr>
                <w:rFonts w:cs="Arial"/>
                <w:szCs w:val="24"/>
                <w:lang w:val="fr-CH"/>
              </w:rPr>
            </w:pPr>
            <w:r>
              <w:rPr>
                <w:rFonts w:cs="Arial"/>
                <w:szCs w:val="24"/>
              </w:rPr>
              <w:fldChar w:fldCharType="begin"/>
            </w:r>
            <w:r w:rsidRPr="008F6422">
              <w:rPr>
                <w:rFonts w:cs="Arial"/>
                <w:szCs w:val="24"/>
                <w:lang w:val="fr-CH"/>
              </w:rPr>
              <w:instrText xml:space="preserve"> REF short  \* MERGEFORMAT </w:instrText>
            </w:r>
            <w:r>
              <w:rPr>
                <w:rFonts w:cs="Arial"/>
                <w:szCs w:val="24"/>
              </w:rPr>
              <w:fldChar w:fldCharType="separate"/>
            </w:r>
            <w:r w:rsidRPr="008F6422">
              <w:rPr>
                <w:rFonts w:cs="Arial"/>
                <w:noProof/>
                <w:sz w:val="24"/>
                <w:szCs w:val="24"/>
                <w:lang w:val="fr-CH"/>
              </w:rPr>
              <w:t xml:space="preserve">     </w:t>
            </w:r>
            <w:r>
              <w:rPr>
                <w:rFonts w:cs="Arial"/>
                <w:szCs w:val="24"/>
              </w:rPr>
              <w:fldChar w:fldCharType="end"/>
            </w:r>
          </w:p>
        </w:tc>
        <w:tc>
          <w:tcPr>
            <w:tcW w:w="13336" w:type="dxa"/>
          </w:tcPr>
          <w:p w:rsidR="005A7EC3" w:rsidRDefault="005A7EC3" w:rsidP="005A7EC3">
            <w:pPr>
              <w:spacing w:before="120" w:after="120"/>
              <w:rPr>
                <w:rFonts w:cs="Arial"/>
                <w:szCs w:val="24"/>
              </w:rPr>
            </w:pPr>
            <w:r>
              <w:rPr>
                <w:rFonts w:cs="Arial"/>
                <w:szCs w:val="24"/>
              </w:rPr>
              <w:fldChar w:fldCharType="begin">
                <w:ffData>
                  <w:name w:val="Text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r w:rsidR="005A7EC3">
        <w:tc>
          <w:tcPr>
            <w:tcW w:w="1450" w:type="dxa"/>
          </w:tcPr>
          <w:p w:rsidR="005A7EC3" w:rsidRDefault="005A7EC3" w:rsidP="005A7EC3">
            <w:pPr>
              <w:spacing w:before="120" w:after="120"/>
              <w:rPr>
                <w:rFonts w:cs="Arial"/>
                <w:szCs w:val="24"/>
              </w:rPr>
            </w:pPr>
            <w:r>
              <w:rPr>
                <w:rFonts w:cs="Arial"/>
                <w:szCs w:val="24"/>
              </w:rPr>
              <w:fldChar w:fldCharType="begin"/>
            </w:r>
            <w:r>
              <w:rPr>
                <w:rFonts w:cs="Arial"/>
                <w:szCs w:val="24"/>
              </w:rPr>
              <w:instrText xml:space="preserve"> REF short  \* MERGEFORMAT </w:instrText>
            </w:r>
            <w:r>
              <w:rPr>
                <w:rFonts w:cs="Arial"/>
                <w:szCs w:val="24"/>
              </w:rPr>
              <w:fldChar w:fldCharType="separate"/>
            </w:r>
            <w:r>
              <w:rPr>
                <w:rFonts w:cs="Arial"/>
                <w:noProof/>
                <w:sz w:val="24"/>
                <w:szCs w:val="24"/>
              </w:rPr>
              <w:t xml:space="preserve">     </w:t>
            </w:r>
            <w:r>
              <w:rPr>
                <w:rFonts w:cs="Arial"/>
                <w:szCs w:val="24"/>
              </w:rPr>
              <w:fldChar w:fldCharType="end"/>
            </w:r>
          </w:p>
        </w:tc>
        <w:bookmarkStart w:id="12" w:name="Text8"/>
        <w:tc>
          <w:tcPr>
            <w:tcW w:w="13336" w:type="dxa"/>
          </w:tcPr>
          <w:p w:rsidR="005A7EC3" w:rsidRDefault="005A7EC3" w:rsidP="005A7EC3">
            <w:pPr>
              <w:spacing w:before="120" w:after="120"/>
              <w:rPr>
                <w:rFonts w:cs="Arial"/>
                <w:szCs w:val="24"/>
              </w:rPr>
            </w:pPr>
            <w:r>
              <w:rPr>
                <w:rFonts w:cs="Arial"/>
                <w:szCs w:val="24"/>
              </w:rPr>
              <w:fldChar w:fldCharType="begin">
                <w:ffData>
                  <w:name w:val="Text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2"/>
          </w:p>
        </w:tc>
      </w:tr>
    </w:tbl>
    <w:p w:rsidR="0064566C" w:rsidRDefault="0064566C">
      <w:pPr>
        <w:tabs>
          <w:tab w:val="left" w:pos="284"/>
        </w:tabs>
        <w:ind w:left="284" w:hanging="284"/>
        <w:rPr>
          <w:sz w:val="16"/>
          <w:szCs w:val="24"/>
          <w:lang w:val="fr-CH"/>
        </w:rPr>
      </w:pPr>
      <w:r>
        <w:rPr>
          <w:sz w:val="16"/>
          <w:szCs w:val="24"/>
          <w:lang w:val="fr-CH"/>
        </w:rPr>
        <w:t xml:space="preserve">Pour effacer des tableaux ou insérer de nouvelles lignes, cliquez sur « Révision / Protéger un document / Désactiver la protection » afin de pouvoir travailler dans le document. Voir guide dans l'annexe. </w:t>
      </w:r>
    </w:p>
    <w:p w:rsidR="0064566C" w:rsidRDefault="0064566C">
      <w:pPr>
        <w:rPr>
          <w:rFonts w:cs="Arial"/>
          <w:szCs w:val="24"/>
          <w:lang w:val="fr-CH"/>
        </w:rPr>
      </w:pPr>
      <w:r>
        <w:rPr>
          <w:rFonts w:cs="Arial"/>
          <w:szCs w:val="24"/>
          <w:lang w:val="fr-CH"/>
        </w:rPr>
        <w:br w:type="page"/>
      </w:r>
    </w:p>
    <w:p w:rsidR="0064566C" w:rsidRDefault="0064566C">
      <w:pPr>
        <w:rPr>
          <w:rFonts w:cs="Arial"/>
          <w:szCs w:val="24"/>
          <w:lang w:val="fr-CH"/>
        </w:rPr>
      </w:pPr>
    </w:p>
    <w:p w:rsidR="0064566C" w:rsidRDefault="0064566C">
      <w:pPr>
        <w:jc w:val="right"/>
        <w:rPr>
          <w:rFonts w:cs="Arial"/>
          <w:szCs w:val="24"/>
          <w:lang w:val="fr-CH"/>
        </w:rPr>
      </w:pPr>
    </w:p>
    <w:tbl>
      <w:tblPr>
        <w:tblW w:w="2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7351"/>
      </w:tblGrid>
      <w:tr w:rsidR="0064566C">
        <w:tc>
          <w:tcPr>
            <w:tcW w:w="8265" w:type="dxa"/>
            <w:gridSpan w:val="2"/>
            <w:shd w:val="clear" w:color="auto" w:fill="FFFF00"/>
          </w:tcPr>
          <w:p w:rsidR="0064566C" w:rsidRPr="00172E79" w:rsidRDefault="0064566C">
            <w:pPr>
              <w:pStyle w:val="Titre1"/>
              <w:rPr>
                <w:lang w:val="de-CH"/>
              </w:rPr>
            </w:pPr>
            <w:bookmarkStart w:id="13" w:name="_Toc388341553"/>
            <w:bookmarkStart w:id="14" w:name="_Toc388409473"/>
            <w:r w:rsidRPr="00172E79">
              <w:rPr>
                <w:lang w:val="de-CH"/>
              </w:rPr>
              <w:t>Notre conclusion</w:t>
            </w:r>
            <w:bookmarkEnd w:id="13"/>
            <w:bookmarkEnd w:id="14"/>
          </w:p>
        </w:tc>
      </w:tr>
      <w:tr w:rsidR="0064566C">
        <w:tc>
          <w:tcPr>
            <w:tcW w:w="914" w:type="dxa"/>
          </w:tcPr>
          <w:p w:rsidR="0064566C" w:rsidRDefault="0064566C">
            <w:pPr>
              <w:spacing w:before="120" w:after="120"/>
              <w:rPr>
                <w:rFonts w:ascii="Univers 45 Light" w:hAnsi="Univers 45 Light"/>
              </w:rPr>
            </w:pPr>
            <w:r>
              <w:fldChar w:fldCharType="begin">
                <w:ffData>
                  <w:name w:val="Kontrollkästchen1"/>
                  <w:enabled/>
                  <w:calcOnExit w:val="0"/>
                  <w:checkBox>
                    <w:sizeAuto/>
                    <w:default w:val="0"/>
                    <w:checked w:val="0"/>
                  </w:checkBox>
                </w:ffData>
              </w:fldChar>
            </w:r>
            <w:r>
              <w:instrText xml:space="preserve"> </w:instrText>
            </w:r>
            <w:r w:rsidR="00935933">
              <w:instrText>FORMCHECKBOX</w:instrText>
            </w:r>
            <w:r>
              <w:instrText xml:space="preserve"> </w:instrText>
            </w:r>
            <w:r w:rsidR="00254B1B">
              <w:fldChar w:fldCharType="separate"/>
            </w:r>
            <w:r>
              <w:fldChar w:fldCharType="end"/>
            </w:r>
          </w:p>
        </w:tc>
        <w:tc>
          <w:tcPr>
            <w:tcW w:w="7351" w:type="dxa"/>
          </w:tcPr>
          <w:p w:rsidR="0064566C" w:rsidRDefault="0064566C">
            <w:pPr>
              <w:spacing w:before="120" w:after="120"/>
              <w:rPr>
                <w:rFonts w:cs="Arial"/>
                <w:sz w:val="24"/>
              </w:rPr>
            </w:pPr>
            <w:r>
              <w:rPr>
                <w:rFonts w:cs="Arial"/>
                <w:sz w:val="24"/>
              </w:rPr>
              <w:t>Acceptation</w:t>
            </w:r>
          </w:p>
        </w:tc>
      </w:tr>
      <w:tr w:rsidR="0064566C">
        <w:tc>
          <w:tcPr>
            <w:tcW w:w="914" w:type="dxa"/>
          </w:tcPr>
          <w:p w:rsidR="0064566C" w:rsidRDefault="0064566C">
            <w:pPr>
              <w:spacing w:before="120" w:after="120"/>
              <w:rPr>
                <w:rFonts w:ascii="Univers 45 Light" w:hAnsi="Univers 45 Light"/>
              </w:rPr>
            </w:pPr>
            <w:r>
              <w:fldChar w:fldCharType="begin">
                <w:ffData>
                  <w:name w:val="Kontrollkästchen1"/>
                  <w:enabled/>
                  <w:calcOnExit w:val="0"/>
                  <w:checkBox>
                    <w:sizeAuto/>
                    <w:default w:val="0"/>
                    <w:checked w:val="0"/>
                  </w:checkBox>
                </w:ffData>
              </w:fldChar>
            </w:r>
            <w:r>
              <w:instrText xml:space="preserve"> </w:instrText>
            </w:r>
            <w:r w:rsidR="00935933">
              <w:instrText>FORMCHECKBOX</w:instrText>
            </w:r>
            <w:r>
              <w:instrText xml:space="preserve"> </w:instrText>
            </w:r>
            <w:r w:rsidR="00254B1B">
              <w:fldChar w:fldCharType="separate"/>
            </w:r>
            <w:r>
              <w:fldChar w:fldCharType="end"/>
            </w:r>
          </w:p>
        </w:tc>
        <w:tc>
          <w:tcPr>
            <w:tcW w:w="7351" w:type="dxa"/>
          </w:tcPr>
          <w:p w:rsidR="0064566C" w:rsidRDefault="0064566C">
            <w:pPr>
              <w:spacing w:before="120" w:after="120"/>
              <w:rPr>
                <w:rFonts w:cs="Arial"/>
                <w:sz w:val="24"/>
              </w:rPr>
            </w:pPr>
            <w:r>
              <w:rPr>
                <w:rFonts w:cs="Arial"/>
                <w:sz w:val="24"/>
              </w:rPr>
              <w:t>Propositions de modifications / réserves</w:t>
            </w:r>
          </w:p>
        </w:tc>
      </w:tr>
      <w:tr w:rsidR="0064566C">
        <w:tc>
          <w:tcPr>
            <w:tcW w:w="914" w:type="dxa"/>
          </w:tcPr>
          <w:p w:rsidR="0064566C" w:rsidRDefault="005A7EC3">
            <w:pPr>
              <w:spacing w:before="120" w:after="120"/>
            </w:pPr>
            <w:r>
              <w:fldChar w:fldCharType="begin">
                <w:ffData>
                  <w:name w:val="Kontrollkästchen1"/>
                  <w:enabled/>
                  <w:calcOnExit w:val="0"/>
                  <w:checkBox>
                    <w:sizeAuto/>
                    <w:default w:val="0"/>
                  </w:checkBox>
                </w:ffData>
              </w:fldChar>
            </w:r>
            <w:bookmarkStart w:id="15" w:name="Kontrollkästchen1"/>
            <w:r>
              <w:instrText xml:space="preserve"> FORMCHECKBOX </w:instrText>
            </w:r>
            <w:r w:rsidR="00254B1B">
              <w:fldChar w:fldCharType="separate"/>
            </w:r>
            <w:r>
              <w:fldChar w:fldCharType="end"/>
            </w:r>
            <w:bookmarkEnd w:id="15"/>
          </w:p>
        </w:tc>
        <w:tc>
          <w:tcPr>
            <w:tcW w:w="7351" w:type="dxa"/>
          </w:tcPr>
          <w:p w:rsidR="0064566C" w:rsidRDefault="0064566C">
            <w:pPr>
              <w:spacing w:before="120" w:after="120"/>
              <w:rPr>
                <w:rFonts w:cs="Arial"/>
                <w:sz w:val="24"/>
              </w:rPr>
            </w:pPr>
            <w:r>
              <w:rPr>
                <w:rFonts w:cs="Arial"/>
                <w:sz w:val="24"/>
              </w:rPr>
              <w:t>Remaniement en profondeur</w:t>
            </w:r>
          </w:p>
        </w:tc>
      </w:tr>
      <w:tr w:rsidR="0064566C">
        <w:tc>
          <w:tcPr>
            <w:tcW w:w="914" w:type="dxa"/>
          </w:tcPr>
          <w:p w:rsidR="0064566C" w:rsidRDefault="005A7EC3">
            <w:pPr>
              <w:spacing w:before="120" w:after="120"/>
              <w:rPr>
                <w:rFonts w:ascii="Univers 45 Light" w:hAnsi="Univers 45 Light"/>
              </w:rPr>
            </w:pPr>
            <w:r>
              <w:fldChar w:fldCharType="begin">
                <w:ffData>
                  <w:name w:val=""/>
                  <w:enabled/>
                  <w:calcOnExit w:val="0"/>
                  <w:checkBox>
                    <w:sizeAuto/>
                    <w:default w:val="1"/>
                  </w:checkBox>
                </w:ffData>
              </w:fldChar>
            </w:r>
            <w:r>
              <w:instrText xml:space="preserve"> FORMCHECKBOX </w:instrText>
            </w:r>
            <w:r w:rsidR="00254B1B">
              <w:fldChar w:fldCharType="separate"/>
            </w:r>
            <w:r>
              <w:fldChar w:fldCharType="end"/>
            </w:r>
          </w:p>
        </w:tc>
        <w:tc>
          <w:tcPr>
            <w:tcW w:w="7351" w:type="dxa"/>
          </w:tcPr>
          <w:p w:rsidR="0064566C" w:rsidRDefault="0064566C">
            <w:pPr>
              <w:spacing w:before="120" w:after="120"/>
              <w:rPr>
                <w:rFonts w:cs="Arial"/>
                <w:sz w:val="24"/>
              </w:rPr>
            </w:pPr>
            <w:r>
              <w:rPr>
                <w:rFonts w:cs="Arial"/>
                <w:sz w:val="24"/>
              </w:rPr>
              <w:t>Refus</w:t>
            </w:r>
          </w:p>
        </w:tc>
      </w:tr>
    </w:tbl>
    <w:p w:rsidR="0064566C" w:rsidRDefault="0064566C">
      <w:pPr>
        <w:jc w:val="right"/>
        <w:rPr>
          <w:rFonts w:cs="Arial"/>
          <w:szCs w:val="24"/>
          <w:lang w:val="fr-CH"/>
        </w:rPr>
      </w:pPr>
    </w:p>
    <w:sectPr w:rsidR="0064566C">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B2E" w:rsidRDefault="003B4B2E">
      <w:pPr>
        <w:rPr>
          <w:szCs w:val="24"/>
        </w:rPr>
      </w:pPr>
      <w:r>
        <w:rPr>
          <w:szCs w:val="24"/>
        </w:rPr>
        <w:separator/>
      </w:r>
    </w:p>
  </w:endnote>
  <w:endnote w:type="continuationSeparator" w:id="0">
    <w:p w:rsidR="003B4B2E" w:rsidRDefault="003B4B2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45 Light">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EFA" w:rsidRDefault="00E31EFA">
    <w:pPr>
      <w:pStyle w:val="Pieddepage"/>
      <w:jc w:val="right"/>
      <w:rPr>
        <w:sz w:val="24"/>
      </w:rPr>
    </w:pPr>
    <w:r>
      <w:rPr>
        <w:sz w:val="24"/>
      </w:rPr>
      <w:fldChar w:fldCharType="begin"/>
    </w:r>
    <w:r>
      <w:rPr>
        <w:sz w:val="24"/>
      </w:rPr>
      <w:instrText xml:space="preserve"> PAGE   \* MERGEFORMAT </w:instrText>
    </w:r>
    <w:r>
      <w:rPr>
        <w:sz w:val="24"/>
      </w:rPr>
      <w:fldChar w:fldCharType="separate"/>
    </w:r>
    <w:r w:rsidR="00254B1B">
      <w:rPr>
        <w:sz w:val="24"/>
      </w:rPr>
      <w:t>1</w:t>
    </w:r>
    <w:r>
      <w:rPr>
        <w:sz w:val="24"/>
      </w:rPr>
      <w:fldChar w:fldCharType="end"/>
    </w:r>
  </w:p>
  <w:p w:rsidR="00E31EFA" w:rsidRDefault="00E31EF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EFA" w:rsidRDefault="00E31EFA">
    <w:pPr>
      <w:pStyle w:val="Pieddepage"/>
      <w:tabs>
        <w:tab w:val="left" w:pos="284"/>
        <w:tab w:val="left" w:pos="3969"/>
      </w:tabs>
      <w:spacing w:before="20" w:after="20"/>
      <w:rPr>
        <w:rStyle w:val="Numrodepage"/>
        <w:sz w:val="16"/>
        <w:szCs w:val="24"/>
      </w:rPr>
    </w:pPr>
    <w:r>
      <w:rPr>
        <w:rStyle w:val="Numrodepage"/>
        <w:sz w:val="16"/>
        <w:szCs w:val="24"/>
      </w:rPr>
      <w:t>1</w:t>
    </w:r>
    <w:r>
      <w:rPr>
        <w:rStyle w:val="Numrodepage"/>
        <w:sz w:val="16"/>
        <w:szCs w:val="24"/>
      </w:rPr>
      <w:tab/>
    </w:r>
    <w:r>
      <w:rPr>
        <w:rStyle w:val="Numrodepage"/>
        <w:b/>
        <w:sz w:val="16"/>
        <w:szCs w:val="24"/>
      </w:rPr>
      <w:t>MB</w:t>
    </w:r>
    <w:r>
      <w:rPr>
        <w:rStyle w:val="Numrodepage"/>
        <w:sz w:val="16"/>
        <w:szCs w:val="24"/>
      </w:rPr>
      <w:t xml:space="preserve"> = Member body (enter the ISO 3166 two-letter country code, e.g. CN for China)</w:t>
    </w:r>
    <w:r>
      <w:rPr>
        <w:rStyle w:val="Numrodepage"/>
        <w:sz w:val="16"/>
        <w:szCs w:val="24"/>
      </w:rPr>
      <w:tab/>
    </w:r>
    <w:r>
      <w:rPr>
        <w:rStyle w:val="Numrodepage"/>
        <w:b/>
        <w:sz w:val="16"/>
        <w:szCs w:val="24"/>
      </w:rPr>
      <w:t>**</w:t>
    </w:r>
    <w:r>
      <w:rPr>
        <w:rStyle w:val="Numrodepage"/>
        <w:sz w:val="16"/>
        <w:szCs w:val="24"/>
      </w:rPr>
      <w:t xml:space="preserve"> = ISO/CS editing unit</w:t>
    </w:r>
  </w:p>
  <w:p w:rsidR="00E31EFA" w:rsidRDefault="00E31EFA">
    <w:pPr>
      <w:pStyle w:val="Pieddepage"/>
      <w:tabs>
        <w:tab w:val="left" w:pos="284"/>
        <w:tab w:val="left" w:pos="1843"/>
        <w:tab w:val="left" w:pos="2268"/>
        <w:tab w:val="left" w:pos="3119"/>
        <w:tab w:val="left" w:pos="4395"/>
      </w:tabs>
      <w:spacing w:before="20" w:after="20"/>
      <w:rPr>
        <w:rStyle w:val="Numrodepage"/>
        <w:sz w:val="16"/>
        <w:szCs w:val="24"/>
      </w:rPr>
    </w:pPr>
    <w:r>
      <w:rPr>
        <w:rStyle w:val="Numrodepage"/>
        <w:sz w:val="16"/>
        <w:szCs w:val="24"/>
      </w:rPr>
      <w:t>2</w:t>
    </w:r>
    <w:r>
      <w:rPr>
        <w:rStyle w:val="Numrodepage"/>
        <w:b/>
        <w:sz w:val="16"/>
        <w:szCs w:val="24"/>
      </w:rPr>
      <w:tab/>
      <w:t>Type of comment</w:t>
    </w:r>
    <w:r>
      <w:rPr>
        <w:rStyle w:val="Numrodepage"/>
        <w:sz w:val="16"/>
        <w:szCs w:val="24"/>
      </w:rPr>
      <w:t>:</w:t>
    </w:r>
    <w:r>
      <w:rPr>
        <w:rStyle w:val="Numrodepage"/>
        <w:sz w:val="16"/>
        <w:szCs w:val="24"/>
      </w:rPr>
      <w:tab/>
      <w:t>ge = general</w:t>
    </w:r>
    <w:r>
      <w:rPr>
        <w:rStyle w:val="Numrodepage"/>
        <w:sz w:val="16"/>
        <w:szCs w:val="24"/>
      </w:rPr>
      <w:tab/>
      <w:t xml:space="preserve">te = technical </w:t>
    </w:r>
    <w:r>
      <w:rPr>
        <w:rStyle w:val="Numrodepage"/>
        <w:sz w:val="16"/>
        <w:szCs w:val="24"/>
      </w:rPr>
      <w:tab/>
      <w:t xml:space="preserve">ed = editorial </w:t>
    </w:r>
  </w:p>
  <w:p w:rsidR="00E31EFA" w:rsidRDefault="00E31EFA">
    <w:pPr>
      <w:pStyle w:val="Pieddepage"/>
      <w:tabs>
        <w:tab w:val="left" w:pos="284"/>
      </w:tabs>
      <w:spacing w:before="20" w:after="20"/>
      <w:rPr>
        <w:rStyle w:val="Numrodepage"/>
        <w:sz w:val="16"/>
        <w:szCs w:val="24"/>
      </w:rPr>
    </w:pPr>
    <w:r>
      <w:rPr>
        <w:rStyle w:val="Numrodepage"/>
        <w:b/>
        <w:sz w:val="16"/>
        <w:szCs w:val="24"/>
      </w:rPr>
      <w:t>NB</w:t>
    </w:r>
    <w:r>
      <w:rPr>
        <w:rStyle w:val="Numrodepage"/>
        <w:sz w:val="16"/>
        <w:szCs w:val="24"/>
      </w:rPr>
      <w:tab/>
      <w:t>Columns 1, 2, 4, 5 are compulsory.</w:t>
    </w:r>
  </w:p>
  <w:p w:rsidR="00E31EFA" w:rsidRDefault="00E31EFA">
    <w:pPr>
      <w:pStyle w:val="Pieddepage"/>
      <w:jc w:val="right"/>
      <w:rPr>
        <w:rStyle w:val="Numrodepage"/>
        <w:sz w:val="16"/>
        <w:szCs w:val="24"/>
      </w:rPr>
    </w:pPr>
    <w:r>
      <w:rPr>
        <w:rStyle w:val="Numrodepage"/>
        <w:sz w:val="16"/>
        <w:szCs w:val="24"/>
      </w:rPr>
      <w:t xml:space="preserve">page </w:t>
    </w:r>
    <w:r>
      <w:rPr>
        <w:rStyle w:val="Numrodepage"/>
        <w:sz w:val="16"/>
        <w:szCs w:val="24"/>
      </w:rPr>
      <w:fldChar w:fldCharType="begin"/>
    </w:r>
    <w:r>
      <w:rPr>
        <w:rStyle w:val="Numrodepage"/>
        <w:sz w:val="16"/>
        <w:szCs w:val="24"/>
      </w:rPr>
      <w:instrText xml:space="preserve"> PAGE </w:instrText>
    </w:r>
    <w:r>
      <w:rPr>
        <w:rStyle w:val="Numrodepage"/>
        <w:sz w:val="16"/>
        <w:szCs w:val="24"/>
      </w:rPr>
      <w:fldChar w:fldCharType="separate"/>
    </w:r>
    <w:r>
      <w:rPr>
        <w:rStyle w:val="Numrodepage"/>
        <w:sz w:val="16"/>
        <w:szCs w:val="24"/>
      </w:rPr>
      <w:t>11</w:t>
    </w:r>
    <w:r>
      <w:rPr>
        <w:rStyle w:val="Numrodepage"/>
        <w:sz w:val="16"/>
        <w:szCs w:val="24"/>
      </w:rPr>
      <w:fldChar w:fldCharType="end"/>
    </w:r>
    <w:r>
      <w:rPr>
        <w:rStyle w:val="Numrodepage"/>
        <w:sz w:val="16"/>
        <w:szCs w:val="24"/>
      </w:rPr>
      <w:t xml:space="preserve"> of </w:t>
    </w:r>
    <w:r>
      <w:rPr>
        <w:rStyle w:val="Numrodepage"/>
        <w:sz w:val="16"/>
        <w:szCs w:val="24"/>
      </w:rPr>
      <w:fldChar w:fldCharType="begin"/>
    </w:r>
    <w:r>
      <w:rPr>
        <w:rStyle w:val="Numrodepage"/>
        <w:sz w:val="16"/>
        <w:szCs w:val="24"/>
      </w:rPr>
      <w:instrText xml:space="preserve"> NUMPAGES </w:instrText>
    </w:r>
    <w:r>
      <w:rPr>
        <w:rStyle w:val="Numrodepage"/>
        <w:sz w:val="16"/>
        <w:szCs w:val="24"/>
      </w:rPr>
      <w:fldChar w:fldCharType="separate"/>
    </w:r>
    <w:r>
      <w:rPr>
        <w:rStyle w:val="Numrodepage"/>
        <w:sz w:val="16"/>
        <w:szCs w:val="24"/>
      </w:rPr>
      <w:t>19</w:t>
    </w:r>
    <w:r>
      <w:rPr>
        <w:rStyle w:val="Numrodepage"/>
        <w:sz w:val="16"/>
        <w:szCs w:val="24"/>
      </w:rPr>
      <w:fldChar w:fldCharType="end"/>
    </w:r>
    <w:bookmarkStart w:id="10" w:name="Text1"/>
  </w:p>
  <w:p w:rsidR="00E31EFA" w:rsidRDefault="00E31EFA">
    <w:pPr>
      <w:pStyle w:val="Pieddepage"/>
      <w:rPr>
        <w:sz w:val="14"/>
        <w:szCs w:val="24"/>
      </w:rPr>
    </w:pPr>
    <w:r>
      <w:rPr>
        <w:rStyle w:val="Numrodepage"/>
        <w:sz w:val="16"/>
        <w:szCs w:val="24"/>
      </w:rPr>
      <w:t>FORM 13B (ISO) version 2001-09</w:t>
    </w:r>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B2E" w:rsidRDefault="003B4B2E">
      <w:pPr>
        <w:rPr>
          <w:szCs w:val="24"/>
        </w:rPr>
      </w:pPr>
      <w:r>
        <w:rPr>
          <w:szCs w:val="24"/>
        </w:rPr>
        <w:separator/>
      </w:r>
    </w:p>
  </w:footnote>
  <w:footnote w:type="continuationSeparator" w:id="0">
    <w:p w:rsidR="003B4B2E" w:rsidRDefault="003B4B2E">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EFA" w:rsidRDefault="00E31EFA">
    <w:pPr>
      <w:pStyle w:val="En-tte"/>
      <w:jc w:val="center"/>
      <w:rPr>
        <w:b/>
        <w:sz w:val="24"/>
        <w:szCs w:val="24"/>
        <w:lang w:val="fr-CH"/>
      </w:rPr>
    </w:pPr>
    <w:r w:rsidRPr="00E439E2">
      <w:rPr>
        <w:b/>
        <w:sz w:val="24"/>
        <w:szCs w:val="24"/>
        <w:lang w:val="fr-CH"/>
      </w:rPr>
      <w:t>Loi sur les produits du tabac</w:t>
    </w:r>
    <w:r>
      <w:rPr>
        <w:b/>
        <w:sz w:val="24"/>
        <w:szCs w:val="24"/>
        <w:lang w:val="fr-CH"/>
      </w:rPr>
      <w:t xml:space="preserve"> </w:t>
    </w:r>
    <w:r w:rsidRPr="00B4207E">
      <w:rPr>
        <w:b/>
        <w:sz w:val="24"/>
        <w:szCs w:val="24"/>
        <w:lang w:val="fr-CH"/>
      </w:rPr>
      <w:t>et les cigarettes électroniques</w:t>
    </w:r>
    <w:r w:rsidRPr="00E439E2">
      <w:rPr>
        <w:b/>
        <w:sz w:val="24"/>
        <w:szCs w:val="24"/>
        <w:lang w:val="fr-CH"/>
      </w:rPr>
      <w:t>:</w:t>
    </w:r>
    <w:r>
      <w:rPr>
        <w:b/>
        <w:sz w:val="24"/>
        <w:szCs w:val="24"/>
        <w:lang w:val="fr-CH"/>
      </w:rPr>
      <w:t xml:space="preserve"> procédure de consultation </w:t>
    </w:r>
  </w:p>
  <w:p w:rsidR="00E31EFA" w:rsidRDefault="00E31EFA">
    <w:pPr>
      <w:pStyle w:val="En-tte"/>
      <w:rPr>
        <w:szCs w:val="24"/>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72"/>
      <w:gridCol w:w="2080"/>
      <w:gridCol w:w="5188"/>
    </w:tblGrid>
    <w:tr w:rsidR="00E31EFA">
      <w:trPr>
        <w:cantSplit/>
        <w:jc w:val="center"/>
      </w:trPr>
      <w:tc>
        <w:tcPr>
          <w:tcW w:w="8572" w:type="dxa"/>
          <w:tcBorders>
            <w:top w:val="nil"/>
            <w:left w:val="nil"/>
            <w:bottom w:val="nil"/>
            <w:right w:val="nil"/>
          </w:tcBorders>
        </w:tcPr>
        <w:p w:rsidR="00E31EFA" w:rsidRDefault="00E31EFA">
          <w:pPr>
            <w:pStyle w:val="ISOComments"/>
            <w:spacing w:before="60" w:after="60"/>
            <w:rPr>
              <w:szCs w:val="24"/>
            </w:rPr>
          </w:pPr>
          <w:r>
            <w:rPr>
              <w:rStyle w:val="MTEquationSection"/>
              <w:b/>
              <w:sz w:val="22"/>
              <w:szCs w:val="24"/>
            </w:rPr>
            <w:t>Template for comments and secretariat observations</w:t>
          </w:r>
        </w:p>
      </w:tc>
      <w:tc>
        <w:tcPr>
          <w:tcW w:w="2080" w:type="dxa"/>
          <w:tcBorders>
            <w:top w:val="single" w:sz="6" w:space="0" w:color="auto"/>
            <w:bottom w:val="single" w:sz="6" w:space="0" w:color="auto"/>
          </w:tcBorders>
        </w:tcPr>
        <w:p w:rsidR="00E31EFA" w:rsidRDefault="00E31EFA">
          <w:pPr>
            <w:pStyle w:val="ISOChange"/>
            <w:spacing w:before="60" w:after="60"/>
            <w:rPr>
              <w:szCs w:val="24"/>
              <w:lang w:val="fr-FR"/>
            </w:rPr>
          </w:pPr>
          <w:r>
            <w:rPr>
              <w:szCs w:val="24"/>
              <w:lang w:val="fr-FR"/>
            </w:rPr>
            <w:t xml:space="preserve">Date: </w:t>
          </w:r>
        </w:p>
      </w:tc>
      <w:tc>
        <w:tcPr>
          <w:tcW w:w="5188" w:type="dxa"/>
          <w:tcBorders>
            <w:top w:val="single" w:sz="6" w:space="0" w:color="auto"/>
            <w:bottom w:val="single" w:sz="6" w:space="0" w:color="auto"/>
          </w:tcBorders>
        </w:tcPr>
        <w:p w:rsidR="00E31EFA" w:rsidRDefault="00E31EFA">
          <w:pPr>
            <w:pStyle w:val="ISOSecretObservations"/>
            <w:spacing w:before="60" w:after="60"/>
            <w:rPr>
              <w:szCs w:val="24"/>
              <w:lang w:val="fr-FR"/>
            </w:rPr>
          </w:pPr>
          <w:r>
            <w:rPr>
              <w:szCs w:val="24"/>
              <w:lang w:val="fr-FR"/>
            </w:rPr>
            <w:t>Document:</w:t>
          </w:r>
          <w:r>
            <w:rPr>
              <w:b/>
              <w:szCs w:val="24"/>
              <w:lang w:val="fr-FR"/>
            </w:rPr>
            <w:t xml:space="preserve"> </w:t>
          </w:r>
          <w:r>
            <w:rPr>
              <w:b/>
              <w:sz w:val="20"/>
              <w:szCs w:val="24"/>
              <w:lang w:val="fr-FR"/>
            </w:rPr>
            <w:t>ISO/</w:t>
          </w:r>
        </w:p>
      </w:tc>
    </w:tr>
  </w:tbl>
  <w:p w:rsidR="00E31EFA" w:rsidRDefault="00E31EFA">
    <w:pPr>
      <w:pStyle w:val="En-tte"/>
      <w:rPr>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9"/>
      <w:gridCol w:w="1814"/>
      <w:gridCol w:w="1134"/>
      <w:gridCol w:w="709"/>
      <w:gridCol w:w="4394"/>
      <w:gridCol w:w="3828"/>
      <w:gridCol w:w="3459"/>
    </w:tblGrid>
    <w:tr w:rsidR="00E31EFA">
      <w:trPr>
        <w:cantSplit/>
        <w:jc w:val="center"/>
      </w:trPr>
      <w:tc>
        <w:tcPr>
          <w:tcW w:w="539" w:type="dxa"/>
        </w:tcPr>
        <w:p w:rsidR="00E31EFA" w:rsidRDefault="00E31EFA">
          <w:pPr>
            <w:keepLines/>
            <w:spacing w:before="40" w:after="40" w:line="180" w:lineRule="exact"/>
            <w:jc w:val="center"/>
            <w:rPr>
              <w:sz w:val="16"/>
              <w:szCs w:val="24"/>
            </w:rPr>
          </w:pPr>
          <w:r>
            <w:rPr>
              <w:sz w:val="16"/>
              <w:szCs w:val="24"/>
            </w:rPr>
            <w:t>1</w:t>
          </w:r>
        </w:p>
      </w:tc>
      <w:tc>
        <w:tcPr>
          <w:tcW w:w="1814" w:type="dxa"/>
        </w:tcPr>
        <w:p w:rsidR="00E31EFA" w:rsidRDefault="00E31EFA">
          <w:pPr>
            <w:keepLines/>
            <w:spacing w:before="40" w:after="40" w:line="180" w:lineRule="exact"/>
            <w:jc w:val="center"/>
            <w:rPr>
              <w:sz w:val="16"/>
              <w:szCs w:val="24"/>
            </w:rPr>
          </w:pPr>
          <w:r>
            <w:rPr>
              <w:sz w:val="16"/>
              <w:szCs w:val="24"/>
            </w:rPr>
            <w:t>2</w:t>
          </w:r>
        </w:p>
      </w:tc>
      <w:tc>
        <w:tcPr>
          <w:tcW w:w="1134" w:type="dxa"/>
        </w:tcPr>
        <w:p w:rsidR="00E31EFA" w:rsidRDefault="00E31EFA">
          <w:pPr>
            <w:keepLines/>
            <w:spacing w:before="40" w:after="40" w:line="180" w:lineRule="exact"/>
            <w:jc w:val="center"/>
            <w:rPr>
              <w:sz w:val="16"/>
              <w:szCs w:val="24"/>
            </w:rPr>
          </w:pPr>
          <w:r>
            <w:rPr>
              <w:sz w:val="16"/>
              <w:szCs w:val="24"/>
            </w:rPr>
            <w:t>3</w:t>
          </w:r>
        </w:p>
      </w:tc>
      <w:tc>
        <w:tcPr>
          <w:tcW w:w="709" w:type="dxa"/>
        </w:tcPr>
        <w:p w:rsidR="00E31EFA" w:rsidRDefault="00E31EFA">
          <w:pPr>
            <w:keepLines/>
            <w:spacing w:before="40" w:after="40" w:line="180" w:lineRule="exact"/>
            <w:jc w:val="center"/>
            <w:rPr>
              <w:sz w:val="16"/>
              <w:szCs w:val="24"/>
            </w:rPr>
          </w:pPr>
          <w:r>
            <w:rPr>
              <w:sz w:val="16"/>
              <w:szCs w:val="24"/>
            </w:rPr>
            <w:t>4</w:t>
          </w:r>
        </w:p>
      </w:tc>
      <w:tc>
        <w:tcPr>
          <w:tcW w:w="4394" w:type="dxa"/>
        </w:tcPr>
        <w:p w:rsidR="00E31EFA" w:rsidRDefault="00E31EFA">
          <w:pPr>
            <w:keepLines/>
            <w:spacing w:before="40" w:after="40" w:line="180" w:lineRule="exact"/>
            <w:jc w:val="center"/>
            <w:rPr>
              <w:sz w:val="16"/>
              <w:szCs w:val="24"/>
            </w:rPr>
          </w:pPr>
          <w:r>
            <w:rPr>
              <w:sz w:val="16"/>
              <w:szCs w:val="24"/>
            </w:rPr>
            <w:t>5</w:t>
          </w:r>
        </w:p>
      </w:tc>
      <w:tc>
        <w:tcPr>
          <w:tcW w:w="3828" w:type="dxa"/>
        </w:tcPr>
        <w:p w:rsidR="00E31EFA" w:rsidRDefault="00E31EFA">
          <w:pPr>
            <w:keepLines/>
            <w:spacing w:before="40" w:after="40" w:line="180" w:lineRule="exact"/>
            <w:jc w:val="center"/>
            <w:rPr>
              <w:sz w:val="16"/>
              <w:szCs w:val="24"/>
            </w:rPr>
          </w:pPr>
          <w:r>
            <w:rPr>
              <w:sz w:val="16"/>
              <w:szCs w:val="24"/>
            </w:rPr>
            <w:t>6</w:t>
          </w:r>
        </w:p>
      </w:tc>
      <w:tc>
        <w:tcPr>
          <w:tcW w:w="3459" w:type="dxa"/>
        </w:tcPr>
        <w:p w:rsidR="00E31EFA" w:rsidRDefault="00E31EFA">
          <w:pPr>
            <w:keepLines/>
            <w:spacing w:before="40" w:after="40" w:line="180" w:lineRule="exact"/>
            <w:jc w:val="center"/>
            <w:rPr>
              <w:sz w:val="16"/>
              <w:szCs w:val="24"/>
            </w:rPr>
          </w:pPr>
          <w:r>
            <w:rPr>
              <w:sz w:val="16"/>
              <w:szCs w:val="24"/>
            </w:rPr>
            <w:t>7</w:t>
          </w:r>
        </w:p>
      </w:tc>
    </w:tr>
    <w:tr w:rsidR="00E31EFA" w:rsidRPr="00254B1B">
      <w:trPr>
        <w:cantSplit/>
        <w:jc w:val="center"/>
      </w:trPr>
      <w:tc>
        <w:tcPr>
          <w:tcW w:w="539" w:type="dxa"/>
        </w:tcPr>
        <w:p w:rsidR="00E31EFA" w:rsidRDefault="00E31EFA">
          <w:pPr>
            <w:keepLines/>
            <w:spacing w:before="100" w:after="60" w:line="190" w:lineRule="exact"/>
            <w:jc w:val="center"/>
            <w:rPr>
              <w:b/>
              <w:sz w:val="16"/>
              <w:szCs w:val="24"/>
            </w:rPr>
          </w:pPr>
          <w:r>
            <w:rPr>
              <w:b/>
              <w:sz w:val="16"/>
              <w:szCs w:val="24"/>
            </w:rPr>
            <w:t>MB</w:t>
          </w:r>
          <w:r>
            <w:rPr>
              <w:b/>
              <w:position w:val="6"/>
              <w:sz w:val="12"/>
              <w:szCs w:val="24"/>
            </w:rPr>
            <w:t>1</w:t>
          </w:r>
          <w:r>
            <w:rPr>
              <w:b/>
              <w:sz w:val="16"/>
              <w:szCs w:val="24"/>
            </w:rPr>
            <w:br/>
          </w:r>
        </w:p>
      </w:tc>
      <w:tc>
        <w:tcPr>
          <w:tcW w:w="1814" w:type="dxa"/>
        </w:tcPr>
        <w:p w:rsidR="00E31EFA" w:rsidRDefault="00E31EFA">
          <w:pPr>
            <w:keepLines/>
            <w:spacing w:before="100" w:after="60" w:line="190" w:lineRule="exact"/>
            <w:jc w:val="center"/>
            <w:rPr>
              <w:b/>
              <w:sz w:val="16"/>
              <w:szCs w:val="24"/>
            </w:rPr>
          </w:pPr>
          <w:r>
            <w:rPr>
              <w:b/>
              <w:sz w:val="16"/>
              <w:szCs w:val="24"/>
            </w:rPr>
            <w:t>Claus</w:t>
          </w:r>
          <w:r>
            <w:rPr>
              <w:b/>
              <w:spacing w:val="20"/>
              <w:sz w:val="16"/>
              <w:szCs w:val="24"/>
            </w:rPr>
            <w:t>e/</w:t>
          </w:r>
          <w:r>
            <w:rPr>
              <w:b/>
              <w:sz w:val="16"/>
              <w:szCs w:val="24"/>
            </w:rPr>
            <w:br/>
            <w:t>Subclause/</w:t>
          </w:r>
          <w:r>
            <w:rPr>
              <w:b/>
              <w:sz w:val="16"/>
              <w:szCs w:val="24"/>
            </w:rPr>
            <w:br/>
            <w:t>Annex/Figure/Table</w:t>
          </w:r>
          <w:r>
            <w:rPr>
              <w:b/>
              <w:sz w:val="16"/>
              <w:szCs w:val="24"/>
            </w:rPr>
            <w:br/>
          </w:r>
          <w:r>
            <w:rPr>
              <w:sz w:val="16"/>
              <w:szCs w:val="24"/>
            </w:rPr>
            <w:t>(e.g. 3.1, Table 2)</w:t>
          </w:r>
        </w:p>
      </w:tc>
      <w:tc>
        <w:tcPr>
          <w:tcW w:w="1134" w:type="dxa"/>
        </w:tcPr>
        <w:p w:rsidR="00E31EFA" w:rsidRDefault="00E31EFA">
          <w:pPr>
            <w:keepLines/>
            <w:spacing w:before="100" w:after="60" w:line="190" w:lineRule="exact"/>
            <w:jc w:val="center"/>
            <w:rPr>
              <w:b/>
              <w:sz w:val="16"/>
              <w:szCs w:val="24"/>
            </w:rPr>
          </w:pPr>
          <w:r>
            <w:rPr>
              <w:b/>
              <w:sz w:val="16"/>
              <w:szCs w:val="24"/>
            </w:rPr>
            <w:t>Paragraph/</w:t>
          </w:r>
          <w:r>
            <w:rPr>
              <w:b/>
              <w:sz w:val="16"/>
              <w:szCs w:val="24"/>
            </w:rPr>
            <w:br/>
            <w:t>List item/</w:t>
          </w:r>
          <w:r>
            <w:rPr>
              <w:b/>
              <w:sz w:val="16"/>
              <w:szCs w:val="24"/>
            </w:rPr>
            <w:br/>
            <w:t>Note/</w:t>
          </w:r>
          <w:r>
            <w:rPr>
              <w:b/>
              <w:sz w:val="16"/>
              <w:szCs w:val="24"/>
            </w:rPr>
            <w:br/>
          </w:r>
          <w:r>
            <w:rPr>
              <w:sz w:val="16"/>
              <w:szCs w:val="24"/>
            </w:rPr>
            <w:t>(e.g. Note 2)</w:t>
          </w:r>
        </w:p>
      </w:tc>
      <w:tc>
        <w:tcPr>
          <w:tcW w:w="709" w:type="dxa"/>
        </w:tcPr>
        <w:p w:rsidR="00E31EFA" w:rsidRDefault="00E31EFA">
          <w:pPr>
            <w:keepLines/>
            <w:spacing w:before="100" w:after="60" w:line="190" w:lineRule="exact"/>
            <w:jc w:val="center"/>
            <w:rPr>
              <w:b/>
              <w:sz w:val="16"/>
              <w:szCs w:val="24"/>
            </w:rPr>
          </w:pPr>
          <w:r>
            <w:rPr>
              <w:b/>
              <w:sz w:val="16"/>
              <w:szCs w:val="24"/>
            </w:rPr>
            <w:t>Type of com-ment</w:t>
          </w:r>
          <w:r>
            <w:rPr>
              <w:b/>
              <w:position w:val="6"/>
              <w:sz w:val="12"/>
              <w:szCs w:val="24"/>
            </w:rPr>
            <w:t>2</w:t>
          </w:r>
        </w:p>
      </w:tc>
      <w:tc>
        <w:tcPr>
          <w:tcW w:w="4394" w:type="dxa"/>
        </w:tcPr>
        <w:p w:rsidR="00E31EFA" w:rsidRDefault="00E31EFA">
          <w:pPr>
            <w:keepLines/>
            <w:spacing w:before="100" w:after="60" w:line="190" w:lineRule="exact"/>
            <w:jc w:val="center"/>
            <w:rPr>
              <w:b/>
              <w:sz w:val="16"/>
              <w:szCs w:val="24"/>
            </w:rPr>
          </w:pPr>
          <w:r>
            <w:rPr>
              <w:b/>
              <w:sz w:val="16"/>
              <w:szCs w:val="24"/>
            </w:rPr>
            <w:t>Comment (justification for change)</w:t>
          </w:r>
        </w:p>
      </w:tc>
      <w:tc>
        <w:tcPr>
          <w:tcW w:w="3828" w:type="dxa"/>
        </w:tcPr>
        <w:p w:rsidR="00E31EFA" w:rsidRDefault="00E31EFA">
          <w:pPr>
            <w:keepLines/>
            <w:spacing w:before="100" w:after="60" w:line="190" w:lineRule="exact"/>
            <w:jc w:val="center"/>
            <w:rPr>
              <w:b/>
              <w:sz w:val="16"/>
              <w:szCs w:val="24"/>
            </w:rPr>
          </w:pPr>
          <w:r>
            <w:rPr>
              <w:b/>
              <w:sz w:val="16"/>
              <w:szCs w:val="24"/>
            </w:rPr>
            <w:t>Proposed change</w:t>
          </w:r>
        </w:p>
      </w:tc>
      <w:tc>
        <w:tcPr>
          <w:tcW w:w="3459" w:type="dxa"/>
        </w:tcPr>
        <w:p w:rsidR="00E31EFA" w:rsidRDefault="00E31EFA">
          <w:pPr>
            <w:keepLines/>
            <w:spacing w:before="100" w:after="60" w:line="190" w:lineRule="exact"/>
            <w:jc w:val="center"/>
            <w:rPr>
              <w:b/>
              <w:sz w:val="16"/>
              <w:szCs w:val="24"/>
              <w:lang w:val="en-US"/>
            </w:rPr>
          </w:pPr>
          <w:r>
            <w:rPr>
              <w:b/>
              <w:sz w:val="16"/>
              <w:szCs w:val="24"/>
              <w:lang w:val="en-US"/>
            </w:rPr>
            <w:t>Secretariat observations</w:t>
          </w:r>
          <w:r>
            <w:rPr>
              <w:b/>
              <w:sz w:val="16"/>
              <w:szCs w:val="24"/>
              <w:lang w:val="en-US"/>
            </w:rPr>
            <w:br/>
          </w:r>
          <w:r>
            <w:rPr>
              <w:sz w:val="16"/>
              <w:szCs w:val="24"/>
              <w:lang w:val="en-US"/>
            </w:rPr>
            <w:t>on each comment submitted</w:t>
          </w:r>
        </w:p>
      </w:tc>
    </w:tr>
  </w:tbl>
  <w:p w:rsidR="00E31EFA" w:rsidRDefault="00E31EFA">
    <w:pPr>
      <w:pStyle w:val="En-tte"/>
      <w:rPr>
        <w:sz w:val="2"/>
        <w:szCs w:val="24"/>
      </w:rPr>
    </w:pPr>
  </w:p>
  <w:p w:rsidR="00E31EFA" w:rsidRDefault="00E31EFA">
    <w:pPr>
      <w:pStyle w:val="En-tte"/>
      <w:rPr>
        <w:sz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A8CF6C"/>
    <w:lvl w:ilvl="0">
      <w:start w:val="1"/>
      <w:numFmt w:val="decimal"/>
      <w:pStyle w:val="Listepuce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92C2DE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432FE08"/>
    <w:lvl w:ilvl="0">
      <w:start w:val="1"/>
      <w:numFmt w:val="decimal"/>
      <w:pStyle w:val="Listepuces4"/>
      <w:lvlText w:val="%1."/>
      <w:lvlJc w:val="left"/>
      <w:pPr>
        <w:tabs>
          <w:tab w:val="num" w:pos="926"/>
        </w:tabs>
        <w:ind w:left="926" w:hanging="360"/>
      </w:pPr>
      <w:rPr>
        <w:rFonts w:cs="Times New Roman"/>
      </w:rPr>
    </w:lvl>
  </w:abstractNum>
  <w:abstractNum w:abstractNumId="3" w15:restartNumberingAfterBreak="0">
    <w:nsid w:val="FFFFFF7F"/>
    <w:multiLevelType w:val="singleLevel"/>
    <w:tmpl w:val="19AAE010"/>
    <w:lvl w:ilvl="0">
      <w:start w:val="1"/>
      <w:numFmt w:val="decimal"/>
      <w:pStyle w:val="Titre3"/>
      <w:lvlText w:val="%1."/>
      <w:lvlJc w:val="left"/>
      <w:pPr>
        <w:tabs>
          <w:tab w:val="num" w:pos="643"/>
        </w:tabs>
        <w:ind w:left="643" w:hanging="360"/>
      </w:pPr>
      <w:rPr>
        <w:rFonts w:cs="Times New Roman"/>
      </w:rPr>
    </w:lvl>
  </w:abstractNum>
  <w:abstractNum w:abstractNumId="4" w15:restartNumberingAfterBreak="0">
    <w:nsid w:val="FFFFFF80"/>
    <w:multiLevelType w:val="singleLevel"/>
    <w:tmpl w:val="2232401E"/>
    <w:lvl w:ilvl="0">
      <w:start w:val="1"/>
      <w:numFmt w:val="bullet"/>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pStyle w:val="Listepuces2"/>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Titre2"/>
      <w:lvlText w:val="%1."/>
      <w:lvlJc w:val="left"/>
      <w:pPr>
        <w:tabs>
          <w:tab w:val="num" w:pos="360"/>
        </w:tabs>
        <w:ind w:left="360" w:hanging="360"/>
      </w:pPr>
      <w:rPr>
        <w:rFonts w:cs="Times New Roman"/>
      </w:r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9A5994"/>
    <w:multiLevelType w:val="multilevel"/>
    <w:tmpl w:val="55A864A4"/>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5"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3B30E6"/>
    <w:multiLevelType w:val="hybridMultilevel"/>
    <w:tmpl w:val="5C824DEA"/>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550E94"/>
    <w:multiLevelType w:val="hybridMultilevel"/>
    <w:tmpl w:val="A094D878"/>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645F1E"/>
    <w:multiLevelType w:val="multilevel"/>
    <w:tmpl w:val="55A864A4"/>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15:restartNumberingAfterBreak="0">
    <w:nsid w:val="7BDA31C9"/>
    <w:multiLevelType w:val="hybridMultilevel"/>
    <w:tmpl w:val="ED741FA2"/>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26"/>
  </w:num>
  <w:num w:numId="22">
    <w:abstractNumId w:val="13"/>
  </w:num>
  <w:num w:numId="23">
    <w:abstractNumId w:val="17"/>
  </w:num>
  <w:num w:numId="24">
    <w:abstractNumId w:val="25"/>
  </w:num>
  <w:num w:numId="25">
    <w:abstractNumId w:val="12"/>
  </w:num>
  <w:num w:numId="26">
    <w:abstractNumId w:val="16"/>
  </w:num>
  <w:num w:numId="27">
    <w:abstractNumId w:val="19"/>
  </w:num>
  <w:num w:numId="28">
    <w:abstractNumId w:val="22"/>
  </w:num>
  <w:num w:numId="29">
    <w:abstractNumId w:val="11"/>
  </w:num>
  <w:num w:numId="30">
    <w:abstractNumId w:val="24"/>
  </w:num>
  <w:num w:numId="31">
    <w:abstractNumId w:val="8"/>
  </w:num>
  <w:num w:numId="32">
    <w:abstractNumId w:val="8"/>
  </w:num>
  <w:num w:numId="33">
    <w:abstractNumId w:val="3"/>
  </w:num>
  <w:num w:numId="34">
    <w:abstractNumId w:val="3"/>
  </w:num>
  <w:num w:numId="35">
    <w:abstractNumId w:val="2"/>
  </w:num>
  <w:num w:numId="36">
    <w:abstractNumId w:val="2"/>
  </w:num>
  <w:num w:numId="37">
    <w:abstractNumId w:val="1"/>
  </w:num>
  <w:num w:numId="38">
    <w:abstractNumId w:val="1"/>
  </w:num>
  <w:num w:numId="39">
    <w:abstractNumId w:val="0"/>
  </w:num>
  <w:num w:numId="40">
    <w:abstractNumId w:val="0"/>
  </w:num>
  <w:num w:numId="41">
    <w:abstractNumId w:val="14"/>
  </w:num>
  <w:num w:numId="42">
    <w:abstractNumId w:val="14"/>
  </w:num>
  <w:num w:numId="43">
    <w:abstractNumId w:val="14"/>
  </w:num>
  <w:num w:numId="44">
    <w:abstractNumId w:val="21"/>
  </w:num>
  <w:num w:numId="45">
    <w:abstractNumId w:val="20"/>
  </w:num>
  <w:num w:numId="46">
    <w:abstractNumId w:val="18"/>
  </w:num>
  <w:num w:numId="47">
    <w:abstractNumId w:val="15"/>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5"/>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4D1"/>
    <w:rsid w:val="00026860"/>
    <w:rsid w:val="0002697A"/>
    <w:rsid w:val="00040C8A"/>
    <w:rsid w:val="000512C1"/>
    <w:rsid w:val="00051F99"/>
    <w:rsid w:val="0006147B"/>
    <w:rsid w:val="0007481C"/>
    <w:rsid w:val="00076A3B"/>
    <w:rsid w:val="00081400"/>
    <w:rsid w:val="000A0201"/>
    <w:rsid w:val="000C154B"/>
    <w:rsid w:val="000C15B4"/>
    <w:rsid w:val="000C54E1"/>
    <w:rsid w:val="000D2608"/>
    <w:rsid w:val="000E7B22"/>
    <w:rsid w:val="00123E8A"/>
    <w:rsid w:val="00147DE0"/>
    <w:rsid w:val="00172E79"/>
    <w:rsid w:val="001818F2"/>
    <w:rsid w:val="00193D4A"/>
    <w:rsid w:val="001B3E17"/>
    <w:rsid w:val="001C2288"/>
    <w:rsid w:val="001F333B"/>
    <w:rsid w:val="001F4BD2"/>
    <w:rsid w:val="002438A6"/>
    <w:rsid w:val="00246258"/>
    <w:rsid w:val="00254B1B"/>
    <w:rsid w:val="002626D0"/>
    <w:rsid w:val="002B7AB8"/>
    <w:rsid w:val="002D65CC"/>
    <w:rsid w:val="002F46A6"/>
    <w:rsid w:val="003055AD"/>
    <w:rsid w:val="00314144"/>
    <w:rsid w:val="00314B7F"/>
    <w:rsid w:val="00352B60"/>
    <w:rsid w:val="00357C61"/>
    <w:rsid w:val="003629B2"/>
    <w:rsid w:val="00366D96"/>
    <w:rsid w:val="003B2C23"/>
    <w:rsid w:val="003B4B2E"/>
    <w:rsid w:val="003E371B"/>
    <w:rsid w:val="003E5FBE"/>
    <w:rsid w:val="003F16E0"/>
    <w:rsid w:val="004006F0"/>
    <w:rsid w:val="00407274"/>
    <w:rsid w:val="004340C9"/>
    <w:rsid w:val="004939E3"/>
    <w:rsid w:val="004A4DC0"/>
    <w:rsid w:val="004B24D1"/>
    <w:rsid w:val="004B6AFA"/>
    <w:rsid w:val="004C4071"/>
    <w:rsid w:val="004D3715"/>
    <w:rsid w:val="004E0C7B"/>
    <w:rsid w:val="004E3DE4"/>
    <w:rsid w:val="00537622"/>
    <w:rsid w:val="00543E1F"/>
    <w:rsid w:val="005468FC"/>
    <w:rsid w:val="00553BB2"/>
    <w:rsid w:val="00564F7C"/>
    <w:rsid w:val="00574155"/>
    <w:rsid w:val="00580A56"/>
    <w:rsid w:val="00593A24"/>
    <w:rsid w:val="005962BF"/>
    <w:rsid w:val="005A6C5C"/>
    <w:rsid w:val="005A7EC3"/>
    <w:rsid w:val="005E51F2"/>
    <w:rsid w:val="005F1C55"/>
    <w:rsid w:val="00603F97"/>
    <w:rsid w:val="00643891"/>
    <w:rsid w:val="0064566C"/>
    <w:rsid w:val="00672C96"/>
    <w:rsid w:val="00674C03"/>
    <w:rsid w:val="00690099"/>
    <w:rsid w:val="006C3413"/>
    <w:rsid w:val="006D7127"/>
    <w:rsid w:val="00702E84"/>
    <w:rsid w:val="0071628B"/>
    <w:rsid w:val="00716943"/>
    <w:rsid w:val="0072436A"/>
    <w:rsid w:val="00731D7F"/>
    <w:rsid w:val="007500F8"/>
    <w:rsid w:val="0077660E"/>
    <w:rsid w:val="00786839"/>
    <w:rsid w:val="007B6350"/>
    <w:rsid w:val="007C5AA0"/>
    <w:rsid w:val="007D0242"/>
    <w:rsid w:val="007E2D1B"/>
    <w:rsid w:val="007E4233"/>
    <w:rsid w:val="00832362"/>
    <w:rsid w:val="008415CF"/>
    <w:rsid w:val="008528A4"/>
    <w:rsid w:val="008649A8"/>
    <w:rsid w:val="0087571B"/>
    <w:rsid w:val="00890453"/>
    <w:rsid w:val="00891C58"/>
    <w:rsid w:val="00892723"/>
    <w:rsid w:val="00894F35"/>
    <w:rsid w:val="008B6C89"/>
    <w:rsid w:val="008D26A9"/>
    <w:rsid w:val="008F6422"/>
    <w:rsid w:val="00905ED7"/>
    <w:rsid w:val="00921D0A"/>
    <w:rsid w:val="00927B4C"/>
    <w:rsid w:val="00935933"/>
    <w:rsid w:val="009A14D5"/>
    <w:rsid w:val="009A40C5"/>
    <w:rsid w:val="009A7266"/>
    <w:rsid w:val="009B3EEF"/>
    <w:rsid w:val="00A15EE7"/>
    <w:rsid w:val="00A3222F"/>
    <w:rsid w:val="00A435CE"/>
    <w:rsid w:val="00A52734"/>
    <w:rsid w:val="00A5376D"/>
    <w:rsid w:val="00A53864"/>
    <w:rsid w:val="00A62213"/>
    <w:rsid w:val="00A73E97"/>
    <w:rsid w:val="00A81746"/>
    <w:rsid w:val="00A82FFE"/>
    <w:rsid w:val="00A9229E"/>
    <w:rsid w:val="00A94465"/>
    <w:rsid w:val="00AA2A3E"/>
    <w:rsid w:val="00AB48EC"/>
    <w:rsid w:val="00AD0CA6"/>
    <w:rsid w:val="00AE1CCD"/>
    <w:rsid w:val="00AE441A"/>
    <w:rsid w:val="00AF5B99"/>
    <w:rsid w:val="00B07DC5"/>
    <w:rsid w:val="00B1302F"/>
    <w:rsid w:val="00B13A5A"/>
    <w:rsid w:val="00B14523"/>
    <w:rsid w:val="00B24AD4"/>
    <w:rsid w:val="00B35EF2"/>
    <w:rsid w:val="00B41894"/>
    <w:rsid w:val="00B4207E"/>
    <w:rsid w:val="00B508EA"/>
    <w:rsid w:val="00B572F6"/>
    <w:rsid w:val="00B7093C"/>
    <w:rsid w:val="00B71C23"/>
    <w:rsid w:val="00B829BB"/>
    <w:rsid w:val="00B8512C"/>
    <w:rsid w:val="00BB6961"/>
    <w:rsid w:val="00BC7315"/>
    <w:rsid w:val="00BD4E4E"/>
    <w:rsid w:val="00BF3D61"/>
    <w:rsid w:val="00BF5043"/>
    <w:rsid w:val="00C06F5C"/>
    <w:rsid w:val="00C1664E"/>
    <w:rsid w:val="00C2604E"/>
    <w:rsid w:val="00C35AAA"/>
    <w:rsid w:val="00C4682F"/>
    <w:rsid w:val="00C96C99"/>
    <w:rsid w:val="00CB218F"/>
    <w:rsid w:val="00CC1D3A"/>
    <w:rsid w:val="00CE0C1D"/>
    <w:rsid w:val="00D00972"/>
    <w:rsid w:val="00D01DF6"/>
    <w:rsid w:val="00D05D41"/>
    <w:rsid w:val="00D15EF5"/>
    <w:rsid w:val="00D21A47"/>
    <w:rsid w:val="00D32AA5"/>
    <w:rsid w:val="00D425FA"/>
    <w:rsid w:val="00D60322"/>
    <w:rsid w:val="00D63FE7"/>
    <w:rsid w:val="00D7285C"/>
    <w:rsid w:val="00D75161"/>
    <w:rsid w:val="00D82D53"/>
    <w:rsid w:val="00DB75C2"/>
    <w:rsid w:val="00DC6332"/>
    <w:rsid w:val="00DC75F8"/>
    <w:rsid w:val="00DE1349"/>
    <w:rsid w:val="00DE470D"/>
    <w:rsid w:val="00DE5F64"/>
    <w:rsid w:val="00DE7426"/>
    <w:rsid w:val="00E31EFA"/>
    <w:rsid w:val="00E33447"/>
    <w:rsid w:val="00E35663"/>
    <w:rsid w:val="00E40212"/>
    <w:rsid w:val="00E439E2"/>
    <w:rsid w:val="00E44742"/>
    <w:rsid w:val="00E619E6"/>
    <w:rsid w:val="00E93F1A"/>
    <w:rsid w:val="00E93FBA"/>
    <w:rsid w:val="00EA1AF1"/>
    <w:rsid w:val="00EC6A70"/>
    <w:rsid w:val="00ED4A3C"/>
    <w:rsid w:val="00EF6C4C"/>
    <w:rsid w:val="00F27144"/>
    <w:rsid w:val="00F665CB"/>
    <w:rsid w:val="00F66E84"/>
    <w:rsid w:val="00F96B9C"/>
    <w:rsid w:val="00FA60C7"/>
    <w:rsid w:val="00FF256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439CEF-9B79-4A8C-B1BA-49F8D748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C23"/>
    <w:pPr>
      <w:spacing w:line="260" w:lineRule="atLeast"/>
    </w:pPr>
    <w:rPr>
      <w:rFonts w:ascii="Arial" w:hAnsi="Arial"/>
      <w:snapToGrid w:val="0"/>
      <w:lang w:val="de-CH" w:eastAsia="en-US"/>
    </w:rPr>
  </w:style>
  <w:style w:type="paragraph" w:styleId="Titre1">
    <w:name w:val="heading 1"/>
    <w:basedOn w:val="Normal"/>
    <w:next w:val="Normal"/>
    <w:link w:val="Titre1Car"/>
    <w:qFormat/>
    <w:pPr>
      <w:keepNext/>
      <w:spacing w:before="60" w:after="60" w:line="240" w:lineRule="auto"/>
      <w:ind w:left="-57"/>
      <w:outlineLvl w:val="0"/>
    </w:pPr>
    <w:rPr>
      <w:rFonts w:ascii="Univers 45 Light" w:hAnsi="Univers 45 Light"/>
      <w:b/>
      <w:kern w:val="32"/>
      <w:sz w:val="28"/>
      <w:lang w:val="x-none"/>
    </w:rPr>
  </w:style>
  <w:style w:type="paragraph" w:styleId="Titre2">
    <w:name w:val="heading 2"/>
    <w:basedOn w:val="Normal"/>
    <w:next w:val="Normal"/>
    <w:qFormat/>
    <w:pPr>
      <w:keepNext/>
      <w:numPr>
        <w:ilvl w:val="1"/>
        <w:numId w:val="32"/>
      </w:numPr>
      <w:tabs>
        <w:tab w:val="clear" w:pos="360"/>
        <w:tab w:val="num" w:pos="851"/>
      </w:tabs>
      <w:ind w:left="851" w:hanging="851"/>
      <w:outlineLvl w:val="1"/>
    </w:pPr>
    <w:rPr>
      <w:b/>
    </w:rPr>
  </w:style>
  <w:style w:type="paragraph" w:styleId="Titre3">
    <w:name w:val="heading 3"/>
    <w:basedOn w:val="Normal"/>
    <w:next w:val="Normal"/>
    <w:qFormat/>
    <w:pPr>
      <w:keepNext/>
      <w:numPr>
        <w:ilvl w:val="2"/>
        <w:numId w:val="33"/>
      </w:numPr>
      <w:tabs>
        <w:tab w:val="num" w:pos="851"/>
      </w:tabs>
      <w:ind w:left="851" w:hanging="851"/>
      <w:outlineLvl w:val="2"/>
    </w:pPr>
  </w:style>
  <w:style w:type="paragraph" w:styleId="Titre4">
    <w:name w:val="heading 4"/>
    <w:basedOn w:val="Normal"/>
    <w:next w:val="Normal"/>
    <w:qFormat/>
    <w:pPr>
      <w:keepNext/>
      <w:outlineLvl w:val="3"/>
    </w:pPr>
    <w:rPr>
      <w:b/>
      <w:bCs/>
      <w:sz w:val="24"/>
      <w:szCs w:val="24"/>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pPr>
      <w:numPr>
        <w:numId w:val="12"/>
      </w:numPr>
    </w:pPr>
  </w:style>
  <w:style w:type="paragraph" w:styleId="Listepuces2">
    <w:name w:val="List Bullet 2"/>
    <w:basedOn w:val="Listepuces"/>
    <w:pPr>
      <w:numPr>
        <w:numId w:val="4"/>
      </w:numPr>
      <w:tabs>
        <w:tab w:val="num" w:pos="850"/>
      </w:tabs>
      <w:ind w:left="850"/>
    </w:pPr>
  </w:style>
  <w:style w:type="paragraph" w:styleId="Listepuces3">
    <w:name w:val="List Bullet 3"/>
    <w:basedOn w:val="Normal"/>
    <w:pPr>
      <w:tabs>
        <w:tab w:val="num" w:pos="1276"/>
      </w:tabs>
      <w:ind w:left="1276" w:hanging="425"/>
    </w:pPr>
  </w:style>
  <w:style w:type="paragraph" w:styleId="Listepuces4">
    <w:name w:val="List Bullet 4"/>
    <w:basedOn w:val="Normal"/>
    <w:pPr>
      <w:numPr>
        <w:numId w:val="8"/>
      </w:numPr>
      <w:tabs>
        <w:tab w:val="clear" w:pos="926"/>
        <w:tab w:val="num" w:pos="1701"/>
      </w:tabs>
      <w:ind w:left="1701" w:hanging="425"/>
    </w:pPr>
  </w:style>
  <w:style w:type="paragraph" w:styleId="Listepuces5">
    <w:name w:val="List Bullet 5"/>
    <w:basedOn w:val="Normal"/>
    <w:pPr>
      <w:numPr>
        <w:numId w:val="10"/>
      </w:numPr>
      <w:tabs>
        <w:tab w:val="clear" w:pos="1492"/>
        <w:tab w:val="num" w:pos="2126"/>
      </w:tabs>
      <w:ind w:left="2126" w:hanging="425"/>
    </w:pPr>
  </w:style>
  <w:style w:type="paragraph" w:styleId="Normalcentr">
    <w:name w:val="Block Text"/>
    <w:basedOn w:val="Normal"/>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en-US"/>
    </w:rPr>
  </w:style>
  <w:style w:type="paragraph" w:styleId="Formuledepolitesse">
    <w:name w:val="Closing"/>
    <w:basedOn w:val="Normal"/>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pPr>
      <w:suppressAutoHyphens/>
      <w:spacing w:line="200" w:lineRule="atLeast"/>
    </w:pPr>
    <w:rPr>
      <w:noProof/>
      <w:sz w:val="15"/>
      <w:lang w:val="en-US"/>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pPr>
      <w:numPr>
        <w:numId w:val="21"/>
      </w:numPr>
    </w:pPr>
  </w:style>
  <w:style w:type="paragraph" w:styleId="Liste2">
    <w:name w:val="List 2"/>
    <w:basedOn w:val="Normal"/>
    <w:pPr>
      <w:numPr>
        <w:numId w:val="22"/>
      </w:numPr>
    </w:pPr>
  </w:style>
  <w:style w:type="paragraph" w:styleId="Liste3">
    <w:name w:val="List 3"/>
    <w:basedOn w:val="Normal"/>
    <w:pPr>
      <w:numPr>
        <w:numId w:val="23"/>
      </w:numPr>
    </w:pPr>
  </w:style>
  <w:style w:type="paragraph" w:styleId="Liste4">
    <w:name w:val="List 4"/>
    <w:basedOn w:val="Normal"/>
    <w:pPr>
      <w:numPr>
        <w:numId w:val="24"/>
      </w:numPr>
    </w:pPr>
  </w:style>
  <w:style w:type="paragraph" w:styleId="Liste5">
    <w:name w:val="List 5"/>
    <w:basedOn w:val="Normal"/>
    <w:pPr>
      <w:numPr>
        <w:numId w:val="25"/>
      </w:numPr>
    </w:pPr>
  </w:style>
  <w:style w:type="paragraph" w:styleId="Listecontinue">
    <w:name w:val="List Continue"/>
    <w:basedOn w:val="Normal"/>
    <w:pPr>
      <w:numPr>
        <w:numId w:val="26"/>
      </w:numPr>
    </w:pPr>
  </w:style>
  <w:style w:type="paragraph" w:styleId="Listecontinue2">
    <w:name w:val="List Continue 2"/>
    <w:basedOn w:val="Normal"/>
    <w:pPr>
      <w:numPr>
        <w:numId w:val="27"/>
      </w:numPr>
    </w:pPr>
  </w:style>
  <w:style w:type="paragraph" w:styleId="Listecontinue3">
    <w:name w:val="List Continue 3"/>
    <w:basedOn w:val="Normal"/>
    <w:pPr>
      <w:numPr>
        <w:numId w:val="28"/>
      </w:numPr>
    </w:pPr>
  </w:style>
  <w:style w:type="paragraph" w:styleId="Listecontinue4">
    <w:name w:val="List Continue 4"/>
    <w:basedOn w:val="Normal"/>
    <w:pPr>
      <w:numPr>
        <w:numId w:val="29"/>
      </w:numPr>
    </w:pPr>
  </w:style>
  <w:style w:type="paragraph" w:styleId="Listecontinue5">
    <w:name w:val="List Continue 5"/>
    <w:basedOn w:val="Normal"/>
    <w:pPr>
      <w:numPr>
        <w:numId w:val="30"/>
      </w:numPr>
    </w:pPr>
  </w:style>
  <w:style w:type="paragraph" w:styleId="Listenumros">
    <w:name w:val="List Number"/>
    <w:basedOn w:val="Normal"/>
    <w:pPr>
      <w:tabs>
        <w:tab w:val="num" w:pos="425"/>
        <w:tab w:val="num" w:pos="851"/>
      </w:tabs>
      <w:ind w:left="425" w:hanging="425"/>
    </w:pPr>
  </w:style>
  <w:style w:type="paragraph" w:styleId="Listenumros2">
    <w:name w:val="List Number 2"/>
    <w:basedOn w:val="Normal"/>
    <w:pPr>
      <w:tabs>
        <w:tab w:val="num" w:pos="851"/>
        <w:tab w:val="num" w:pos="1701"/>
      </w:tabs>
      <w:ind w:left="851" w:hanging="426"/>
    </w:pPr>
  </w:style>
  <w:style w:type="paragraph" w:styleId="Listenumros3">
    <w:name w:val="List Number 3"/>
    <w:basedOn w:val="Normal"/>
    <w:pPr>
      <w:tabs>
        <w:tab w:val="num" w:pos="425"/>
        <w:tab w:val="num" w:pos="1276"/>
      </w:tabs>
      <w:ind w:left="1276" w:hanging="425"/>
    </w:pPr>
  </w:style>
  <w:style w:type="paragraph" w:styleId="Listenumros4">
    <w:name w:val="List Number 4"/>
    <w:basedOn w:val="Normal"/>
    <w:pPr>
      <w:tabs>
        <w:tab w:val="num" w:pos="1276"/>
        <w:tab w:val="num" w:pos="1701"/>
      </w:tabs>
      <w:ind w:left="1701" w:hanging="425"/>
    </w:pPr>
  </w:style>
  <w:style w:type="paragraph" w:styleId="Listenumros5">
    <w:name w:val="List Number 5"/>
    <w:basedOn w:val="Normal"/>
    <w:pPr>
      <w:tabs>
        <w:tab w:val="num" w:pos="2126"/>
      </w:tabs>
      <w:ind w:left="2126" w:hanging="425"/>
    </w:p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rPr>
      <w:rFonts w:ascii="Arial" w:hAnsi="Arial" w:cs="Times New Roman"/>
      <w:color w:val="auto"/>
      <w:sz w:val="14"/>
      <w:vertAlign w:val="baseline"/>
    </w:rPr>
  </w:style>
  <w:style w:type="paragraph" w:styleId="NormalWeb">
    <w:name w:val="Normal (Web)"/>
    <w:basedOn w:val="Normal"/>
    <w:uiPriority w:val="99"/>
    <w:rPr>
      <w:sz w:val="24"/>
      <w:szCs w:val="24"/>
    </w:rPr>
  </w:style>
  <w:style w:type="paragraph" w:customStyle="1" w:styleId="StandardFett">
    <w:name w:val="StandardFett"/>
    <w:basedOn w:val="Normal"/>
    <w:next w:val="Normal"/>
    <w:rPr>
      <w:b/>
    </w:rPr>
  </w:style>
  <w:style w:type="paragraph" w:styleId="Corpsdetexte">
    <w:name w:val="Body Text"/>
    <w:basedOn w:val="Normal"/>
    <w:pPr>
      <w:spacing w:after="120"/>
    </w:pPr>
  </w:style>
  <w:style w:type="paragraph" w:styleId="Retraitcorpsdetexte">
    <w:name w:val="Body Text Indent"/>
    <w:basedOn w:val="Normal"/>
    <w:pPr>
      <w:spacing w:after="120"/>
      <w:ind w:left="425"/>
    </w:pPr>
  </w:style>
  <w:style w:type="paragraph" w:styleId="Retraitcorpsdetexte2">
    <w:name w:val="Body Text Indent 2"/>
    <w:basedOn w:val="Normal"/>
    <w:pPr>
      <w:spacing w:after="120" w:line="480" w:lineRule="auto"/>
      <w:ind w:left="425"/>
    </w:pPr>
  </w:style>
  <w:style w:type="paragraph" w:styleId="Retraitcorpsdetexte3">
    <w:name w:val="Body Text Indent 3"/>
    <w:basedOn w:val="Normal"/>
    <w:pPr>
      <w:spacing w:after="120"/>
      <w:ind w:left="425"/>
    </w:pPr>
    <w:rPr>
      <w:sz w:val="16"/>
      <w:szCs w:val="16"/>
    </w:rPr>
  </w:style>
  <w:style w:type="paragraph" w:styleId="Retrait1religne">
    <w:name w:val="Body Text First Indent"/>
    <w:basedOn w:val="Corpsdetexte"/>
    <w:pPr>
      <w:ind w:firstLine="425"/>
    </w:pPr>
  </w:style>
  <w:style w:type="paragraph" w:styleId="Retraitcorpset1relig">
    <w:name w:val="Body Text First Indent 2"/>
    <w:basedOn w:val="Retraitcorpsdetexte"/>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uiPriority w:val="39"/>
    <w:pPr>
      <w:spacing w:before="120"/>
    </w:pPr>
    <w:rPr>
      <w:rFonts w:ascii="Univers 45 Light" w:hAnsi="Univers 45 Light"/>
      <w:b/>
      <w:bCs/>
      <w:iCs/>
      <w:sz w:val="24"/>
      <w:szCs w:val="24"/>
    </w:rPr>
  </w:style>
  <w:style w:type="paragraph" w:styleId="TM2">
    <w:name w:val="toc 2"/>
    <w:basedOn w:val="Normal"/>
    <w:next w:val="Normal"/>
    <w:semiHidden/>
    <w:pPr>
      <w:spacing w:before="120"/>
      <w:ind w:left="200"/>
    </w:pPr>
    <w:rPr>
      <w:rFonts w:ascii="Times New Roman" w:hAnsi="Times New Roman"/>
      <w:b/>
      <w:bCs/>
      <w:sz w:val="22"/>
      <w:szCs w:val="22"/>
    </w:rPr>
  </w:style>
  <w:style w:type="paragraph" w:styleId="TM3">
    <w:name w:val="toc 3"/>
    <w:basedOn w:val="Normal"/>
    <w:next w:val="Normal"/>
    <w:semiHidden/>
    <w:pPr>
      <w:ind w:left="400"/>
    </w:pPr>
    <w:rPr>
      <w:rFonts w:ascii="Times New Roman" w:hAnsi="Times New Roman"/>
    </w:rPr>
  </w:style>
  <w:style w:type="character" w:styleId="Numrodeligne">
    <w:name w:val="line number"/>
    <w:rPr>
      <w:rFonts w:cs="Times New Roman"/>
    </w:rPr>
  </w:style>
  <w:style w:type="paragraph" w:styleId="Salutations">
    <w:name w:val="Salutation"/>
    <w:basedOn w:val="Normal"/>
    <w:next w:val="Normal"/>
  </w:style>
  <w:style w:type="paragraph" w:styleId="Lgende">
    <w:name w:val="caption"/>
    <w:basedOn w:val="Normal"/>
    <w:next w:val="Normal"/>
    <w:qFormat/>
    <w:pPr>
      <w:spacing w:before="120" w:after="120"/>
    </w:pPr>
    <w:rPr>
      <w:b/>
      <w:bCs/>
    </w:r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imes New Roman" w:hAnsi="Times New Roman"/>
    </w:rPr>
  </w:style>
  <w:style w:type="paragraph" w:styleId="Signaturelectronique">
    <w:name w:val="E-mail Signature"/>
    <w:basedOn w:val="Normal"/>
  </w:style>
  <w:style w:type="paragraph" w:styleId="Notedefin">
    <w:name w:val="endnote text"/>
    <w:basedOn w:val="Normal"/>
    <w:semiHidden/>
  </w:style>
  <w:style w:type="paragraph" w:styleId="Titredenote">
    <w:name w:val="Note Heading"/>
    <w:basedOn w:val="Normal"/>
    <w:next w:val="Normal"/>
  </w:style>
  <w:style w:type="paragraph" w:styleId="Notedebasdepage">
    <w:name w:val="footnote text"/>
    <w:basedOn w:val="Normal"/>
    <w:semiHidden/>
  </w:style>
  <w:style w:type="paragraph" w:styleId="AdresseHTML">
    <w:name w:val="HTML Address"/>
    <w:basedOn w:val="Normal"/>
    <w:rPr>
      <w:i/>
      <w:iCs/>
    </w:rPr>
  </w:style>
  <w:style w:type="paragraph" w:styleId="PrformatHTML">
    <w:name w:val="HTML Preformatted"/>
    <w:basedOn w:val="Normal"/>
    <w:link w:val="PrformatHTMLCar"/>
    <w:uiPriority w:val="99"/>
    <w:rPr>
      <w:rFonts w:ascii="Courier New" w:hAnsi="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rPr>
      <w:lang w:val="x-none"/>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napToGrid w:val="0"/>
      <w:lang w:val="de-CH" w:eastAsia="en-US"/>
    </w:rPr>
  </w:style>
  <w:style w:type="paragraph" w:styleId="Textebrut">
    <w:name w:val="Plain Text"/>
    <w:basedOn w:val="Normal"/>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pPr>
      <w:ind w:left="425"/>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Adresseexpditeur">
    <w:name w:val="envelope return"/>
    <w:basedOn w:val="Normal"/>
    <w:rPr>
      <w:rFonts w:cs="Arial"/>
    </w:rPr>
  </w:style>
  <w:style w:type="paragraph" w:styleId="Adressedestinataire">
    <w:name w:val="envelope address"/>
    <w:basedOn w:val="Normal"/>
    <w:pPr>
      <w:framePr w:w="7920" w:h="1980" w:hRule="exact" w:hSpace="180" w:wrap="auto" w:hAnchor="page" w:xAlign="center" w:yAlign="bottom"/>
      <w:ind w:left="2880"/>
    </w:pPr>
    <w:rPr>
      <w:rFonts w:cs="Arial"/>
      <w:sz w:val="24"/>
      <w:szCs w:val="24"/>
    </w:rPr>
  </w:style>
  <w:style w:type="paragraph" w:styleId="Signature">
    <w:name w:val="Signature"/>
    <w:basedOn w:val="Normal"/>
    <w:pPr>
      <w:ind w:left="4252"/>
    </w:pPr>
  </w:style>
  <w:style w:type="paragraph" w:styleId="TM4">
    <w:name w:val="toc 4"/>
    <w:basedOn w:val="Normal"/>
    <w:next w:val="Normal"/>
    <w:semiHidden/>
    <w:pPr>
      <w:ind w:left="600"/>
    </w:pPr>
    <w:rPr>
      <w:rFonts w:ascii="Times New Roman" w:hAnsi="Times New Roman"/>
    </w:rPr>
  </w:style>
  <w:style w:type="paragraph" w:styleId="TM5">
    <w:name w:val="toc 5"/>
    <w:basedOn w:val="Normal"/>
    <w:next w:val="Normal"/>
    <w:semiHidden/>
    <w:pPr>
      <w:ind w:left="800"/>
    </w:pPr>
    <w:rPr>
      <w:rFonts w:ascii="Times New Roman" w:hAnsi="Times New Roman"/>
    </w:rPr>
  </w:style>
  <w:style w:type="paragraph" w:styleId="TM6">
    <w:name w:val="toc 6"/>
    <w:basedOn w:val="Normal"/>
    <w:next w:val="Normal"/>
    <w:semiHidden/>
    <w:pPr>
      <w:ind w:left="1000"/>
    </w:pPr>
    <w:rPr>
      <w:rFonts w:ascii="Times New Roman" w:hAnsi="Times New Roman"/>
    </w:rPr>
  </w:style>
  <w:style w:type="paragraph" w:styleId="TM7">
    <w:name w:val="toc 7"/>
    <w:basedOn w:val="Normal"/>
    <w:next w:val="Normal"/>
    <w:semiHidden/>
    <w:pPr>
      <w:ind w:left="1200"/>
    </w:pPr>
    <w:rPr>
      <w:rFonts w:ascii="Times New Roman" w:hAnsi="Times New Roman"/>
    </w:rPr>
  </w:style>
  <w:style w:type="paragraph" w:styleId="TM8">
    <w:name w:val="toc 8"/>
    <w:basedOn w:val="Normal"/>
    <w:next w:val="Normal"/>
    <w:semiHidden/>
    <w:pPr>
      <w:ind w:left="1400"/>
    </w:pPr>
    <w:rPr>
      <w:rFonts w:ascii="Times New Roman" w:hAnsi="Times New Roman"/>
    </w:rPr>
  </w:style>
  <w:style w:type="paragraph" w:styleId="TM9">
    <w:name w:val="toc 9"/>
    <w:basedOn w:val="Normal"/>
    <w:next w:val="Normal"/>
    <w:semiHidden/>
    <w:pPr>
      <w:ind w:left="1600"/>
    </w:pPr>
    <w:rPr>
      <w:rFonts w:ascii="Times New Roman" w:hAnsi="Times New Roman"/>
    </w:rPr>
  </w:style>
  <w:style w:type="paragraph" w:customStyle="1" w:styleId="ListStrich">
    <w:name w:val="List_Strich"/>
    <w:basedOn w:val="Normal"/>
    <w:pPr>
      <w:numPr>
        <w:numId w:val="45"/>
      </w:numPr>
    </w:pPr>
  </w:style>
  <w:style w:type="paragraph" w:customStyle="1" w:styleId="ListPunkt">
    <w:name w:val="List_Punkt"/>
    <w:basedOn w:val="Normal"/>
    <w:pPr>
      <w:numPr>
        <w:numId w:val="44"/>
      </w:numPr>
    </w:pPr>
  </w:style>
  <w:style w:type="paragraph" w:customStyle="1" w:styleId="ListNum">
    <w:name w:val="List_Num"/>
    <w:basedOn w:val="Normal"/>
    <w:pPr>
      <w:numPr>
        <w:numId w:val="46"/>
      </w:numPr>
    </w:pPr>
  </w:style>
  <w:style w:type="paragraph" w:customStyle="1" w:styleId="ListAlpha">
    <w:name w:val="List_Alpha"/>
    <w:basedOn w:val="Normal"/>
    <w:pPr>
      <w:numPr>
        <w:numId w:val="47"/>
      </w:numPr>
    </w:pPr>
  </w:style>
  <w:style w:type="table" w:styleId="Grilledutableau">
    <w:name w:val="Table Grid"/>
    <w:basedOn w:val="TableauNormal"/>
    <w:pPr>
      <w:spacing w:line="260" w:lineRule="atLeast"/>
    </w:pPr>
    <w:rPr>
      <w:snapToGrid w:val="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OComments">
    <w:name w:val="ISO_Comments"/>
    <w:basedOn w:val="Normal"/>
    <w:pPr>
      <w:spacing w:before="210" w:line="210" w:lineRule="exact"/>
    </w:pPr>
    <w:rPr>
      <w:sz w:val="18"/>
      <w:lang w:val="en-GB"/>
    </w:rPr>
  </w:style>
  <w:style w:type="paragraph" w:customStyle="1" w:styleId="ISOChange">
    <w:name w:val="ISO_Change"/>
    <w:basedOn w:val="Normal"/>
    <w:pPr>
      <w:spacing w:before="210" w:line="210" w:lineRule="exact"/>
    </w:pPr>
    <w:rPr>
      <w:sz w:val="18"/>
      <w:lang w:val="en-GB"/>
    </w:rPr>
  </w:style>
  <w:style w:type="paragraph" w:customStyle="1" w:styleId="ISOSecretObservations">
    <w:name w:val="ISO_Secret_Observations"/>
    <w:basedOn w:val="Normal"/>
    <w:pPr>
      <w:spacing w:before="210" w:line="210" w:lineRule="exact"/>
    </w:pPr>
    <w:rPr>
      <w:sz w:val="18"/>
      <w:lang w:val="en-GB"/>
    </w:rPr>
  </w:style>
  <w:style w:type="character" w:customStyle="1" w:styleId="MTEquationSection">
    <w:name w:val="MTEquationSection"/>
    <w:rPr>
      <w:rFonts w:cs="Times New Roman"/>
      <w:color w:val="FF0000"/>
      <w:sz w:val="16"/>
    </w:rPr>
  </w:style>
  <w:style w:type="character" w:styleId="Lienhypertexte">
    <w:name w:val="Hyperlink"/>
    <w:uiPriority w:val="99"/>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Titre1Car">
    <w:name w:val="Titre 1 Car"/>
    <w:link w:val="Titre1"/>
    <w:rPr>
      <w:rFonts w:ascii="Univers 45 Light" w:hAnsi="Univers 45 Light"/>
      <w:b/>
      <w:snapToGrid w:val="0"/>
      <w:kern w:val="32"/>
      <w:sz w:val="28"/>
      <w:lang w:eastAsia="en-US"/>
    </w:rPr>
  </w:style>
  <w:style w:type="character" w:customStyle="1" w:styleId="PieddepageCar">
    <w:name w:val="Pied de page Car"/>
    <w:link w:val="Pieddepage"/>
    <w:uiPriority w:val="99"/>
    <w:rPr>
      <w:rFonts w:ascii="Arial" w:hAnsi="Arial"/>
      <w:noProof/>
      <w:snapToGrid w:val="0"/>
      <w:sz w:val="12"/>
      <w:lang w:val="en-US" w:eastAsia="en-US"/>
    </w:rPr>
  </w:style>
  <w:style w:type="paragraph" w:styleId="Textedebulles">
    <w:name w:val="Balloon Text"/>
    <w:basedOn w:val="Normal"/>
    <w:link w:val="TextedebullesCar"/>
    <w:rsid w:val="004B24D1"/>
    <w:pPr>
      <w:spacing w:line="240" w:lineRule="auto"/>
    </w:pPr>
    <w:rPr>
      <w:rFonts w:ascii="Segoe UI" w:hAnsi="Segoe UI"/>
      <w:sz w:val="18"/>
      <w:szCs w:val="18"/>
      <w:lang w:val="x-none"/>
    </w:rPr>
  </w:style>
  <w:style w:type="character" w:customStyle="1" w:styleId="TextedebullesCar">
    <w:name w:val="Texte de bulles Car"/>
    <w:link w:val="Textedebulles"/>
    <w:rsid w:val="004B24D1"/>
    <w:rPr>
      <w:rFonts w:ascii="Segoe UI" w:hAnsi="Segoe UI" w:cs="Segoe UI"/>
      <w:snapToGrid w:val="0"/>
      <w:sz w:val="18"/>
      <w:szCs w:val="18"/>
      <w:lang w:eastAsia="en-US"/>
    </w:rPr>
  </w:style>
  <w:style w:type="character" w:customStyle="1" w:styleId="PrformatHTMLCar">
    <w:name w:val="Préformaté HTML Car"/>
    <w:link w:val="PrformatHTML"/>
    <w:uiPriority w:val="99"/>
    <w:rsid w:val="002438A6"/>
    <w:rPr>
      <w:rFonts w:ascii="Courier New" w:hAnsi="Courier New" w:cs="Courier New"/>
      <w:snapToGrid w:val="0"/>
      <w:lang w:val="de-CH" w:eastAsia="en-US"/>
    </w:rPr>
  </w:style>
  <w:style w:type="character" w:styleId="Marquedecommentaire">
    <w:name w:val="annotation reference"/>
    <w:rsid w:val="00BF3D61"/>
    <w:rPr>
      <w:sz w:val="16"/>
      <w:szCs w:val="16"/>
    </w:rPr>
  </w:style>
  <w:style w:type="paragraph" w:styleId="Objetducommentaire">
    <w:name w:val="annotation subject"/>
    <w:basedOn w:val="Commentaire"/>
    <w:next w:val="Commentaire"/>
    <w:link w:val="ObjetducommentaireCar"/>
    <w:rsid w:val="00BF3D61"/>
    <w:rPr>
      <w:b/>
      <w:bCs/>
    </w:rPr>
  </w:style>
  <w:style w:type="character" w:customStyle="1" w:styleId="CommentaireCar">
    <w:name w:val="Commentaire Car"/>
    <w:link w:val="Commentaire"/>
    <w:semiHidden/>
    <w:rsid w:val="00BF3D61"/>
    <w:rPr>
      <w:rFonts w:ascii="Arial" w:hAnsi="Arial"/>
      <w:snapToGrid w:val="0"/>
      <w:lang w:eastAsia="en-US"/>
    </w:rPr>
  </w:style>
  <w:style w:type="character" w:customStyle="1" w:styleId="ObjetducommentaireCar">
    <w:name w:val="Objet du commentaire Car"/>
    <w:link w:val="Objetducommentaire"/>
    <w:rsid w:val="00BF3D61"/>
    <w:rPr>
      <w:rFonts w:ascii="Arial" w:hAnsi="Arial"/>
      <w:b/>
      <w:bCs/>
      <w:snapToGrid w:val="0"/>
      <w:lang w:eastAsia="en-US"/>
    </w:rPr>
  </w:style>
  <w:style w:type="character" w:styleId="Appelnotedebasdep">
    <w:name w:val="footnote reference"/>
    <w:rsid w:val="00B14523"/>
    <w:rPr>
      <w:rFonts w:ascii="Times New Roman" w:hAnsi="Times New Roman"/>
      <w:noProof/>
      <w:position w:val="4"/>
      <w:sz w:val="13"/>
    </w:rPr>
  </w:style>
  <w:style w:type="character" w:styleId="Lienhypertextesuivivisit">
    <w:name w:val="FollowedHyperlink"/>
    <w:rsid w:val="00246258"/>
    <w:rPr>
      <w:color w:val="800080"/>
      <w:u w:val="single"/>
    </w:rPr>
  </w:style>
  <w:style w:type="character" w:styleId="Accentuation">
    <w:name w:val="Emphasis"/>
    <w:uiPriority w:val="20"/>
    <w:qFormat/>
    <w:rsid w:val="00147D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72174">
      <w:bodyDiv w:val="1"/>
      <w:marLeft w:val="0"/>
      <w:marRight w:val="0"/>
      <w:marTop w:val="0"/>
      <w:marBottom w:val="0"/>
      <w:divBdr>
        <w:top w:val="none" w:sz="0" w:space="0" w:color="auto"/>
        <w:left w:val="none" w:sz="0" w:space="0" w:color="auto"/>
        <w:bottom w:val="none" w:sz="0" w:space="0" w:color="auto"/>
        <w:right w:val="none" w:sz="0" w:space="0" w:color="auto"/>
      </w:divBdr>
    </w:div>
    <w:div w:id="1517576247">
      <w:bodyDiv w:val="1"/>
      <w:marLeft w:val="0"/>
      <w:marRight w:val="0"/>
      <w:marTop w:val="0"/>
      <w:marBottom w:val="0"/>
      <w:divBdr>
        <w:top w:val="none" w:sz="0" w:space="0" w:color="auto"/>
        <w:left w:val="none" w:sz="0" w:space="0" w:color="auto"/>
        <w:bottom w:val="none" w:sz="0" w:space="0" w:color="auto"/>
        <w:right w:val="none" w:sz="0" w:space="0" w:color="auto"/>
      </w:divBdr>
    </w:div>
    <w:div w:id="1558324570">
      <w:bodyDiv w:val="1"/>
      <w:marLeft w:val="0"/>
      <w:marRight w:val="0"/>
      <w:marTop w:val="0"/>
      <w:marBottom w:val="0"/>
      <w:divBdr>
        <w:top w:val="none" w:sz="0" w:space="0" w:color="auto"/>
        <w:left w:val="none" w:sz="0" w:space="0" w:color="auto"/>
        <w:bottom w:val="none" w:sz="0" w:space="0" w:color="auto"/>
        <w:right w:val="none" w:sz="0" w:space="0" w:color="auto"/>
      </w:divBdr>
    </w:div>
    <w:div w:id="1780486980">
      <w:bodyDiv w:val="1"/>
      <w:marLeft w:val="0"/>
      <w:marRight w:val="0"/>
      <w:marTop w:val="0"/>
      <w:marBottom w:val="0"/>
      <w:divBdr>
        <w:top w:val="none" w:sz="0" w:space="0" w:color="auto"/>
        <w:left w:val="none" w:sz="0" w:space="0" w:color="auto"/>
        <w:bottom w:val="none" w:sz="0" w:space="0" w:color="auto"/>
        <w:right w:val="none" w:sz="0" w:space="0" w:color="auto"/>
      </w:divBdr>
      <w:divsChild>
        <w:div w:id="829907177">
          <w:marLeft w:val="0"/>
          <w:marRight w:val="0"/>
          <w:marTop w:val="0"/>
          <w:marBottom w:val="0"/>
          <w:divBdr>
            <w:top w:val="none" w:sz="0" w:space="0" w:color="auto"/>
            <w:left w:val="none" w:sz="0" w:space="0" w:color="auto"/>
            <w:bottom w:val="none" w:sz="0" w:space="0" w:color="auto"/>
            <w:right w:val="none" w:sz="0" w:space="0" w:color="auto"/>
          </w:divBdr>
          <w:divsChild>
            <w:div w:id="348262696">
              <w:marLeft w:val="0"/>
              <w:marRight w:val="0"/>
              <w:marTop w:val="0"/>
              <w:marBottom w:val="0"/>
              <w:divBdr>
                <w:top w:val="none" w:sz="0" w:space="0" w:color="auto"/>
                <w:left w:val="none" w:sz="0" w:space="0" w:color="auto"/>
                <w:bottom w:val="none" w:sz="0" w:space="0" w:color="auto"/>
                <w:right w:val="none" w:sz="0" w:space="0" w:color="auto"/>
              </w:divBdr>
              <w:divsChild>
                <w:div w:id="886260641">
                  <w:marLeft w:val="-225"/>
                  <w:marRight w:val="-225"/>
                  <w:marTop w:val="0"/>
                  <w:marBottom w:val="0"/>
                  <w:divBdr>
                    <w:top w:val="none" w:sz="0" w:space="0" w:color="auto"/>
                    <w:left w:val="none" w:sz="0" w:space="0" w:color="auto"/>
                    <w:bottom w:val="none" w:sz="0" w:space="0" w:color="auto"/>
                    <w:right w:val="none" w:sz="0" w:space="0" w:color="auto"/>
                  </w:divBdr>
                  <w:divsChild>
                    <w:div w:id="99644732">
                      <w:marLeft w:val="0"/>
                      <w:marRight w:val="0"/>
                      <w:marTop w:val="0"/>
                      <w:marBottom w:val="0"/>
                      <w:divBdr>
                        <w:top w:val="none" w:sz="0" w:space="0" w:color="auto"/>
                        <w:left w:val="none" w:sz="0" w:space="0" w:color="auto"/>
                        <w:bottom w:val="none" w:sz="0" w:space="0" w:color="auto"/>
                        <w:right w:val="none" w:sz="0" w:space="0" w:color="auto"/>
                      </w:divBdr>
                      <w:divsChild>
                        <w:div w:id="289439710">
                          <w:marLeft w:val="-225"/>
                          <w:marRight w:val="-225"/>
                          <w:marTop w:val="0"/>
                          <w:marBottom w:val="0"/>
                          <w:divBdr>
                            <w:top w:val="none" w:sz="0" w:space="0" w:color="auto"/>
                            <w:left w:val="none" w:sz="0" w:space="0" w:color="auto"/>
                            <w:bottom w:val="none" w:sz="0" w:space="0" w:color="auto"/>
                            <w:right w:val="none" w:sz="0" w:space="0" w:color="auto"/>
                          </w:divBdr>
                          <w:divsChild>
                            <w:div w:id="1895895215">
                              <w:marLeft w:val="0"/>
                              <w:marRight w:val="0"/>
                              <w:marTop w:val="0"/>
                              <w:marBottom w:val="0"/>
                              <w:divBdr>
                                <w:top w:val="none" w:sz="0" w:space="0" w:color="auto"/>
                                <w:left w:val="none" w:sz="0" w:space="0" w:color="auto"/>
                                <w:bottom w:val="none" w:sz="0" w:space="0" w:color="auto"/>
                                <w:right w:val="none" w:sz="0" w:space="0" w:color="auto"/>
                              </w:divBdr>
                              <w:divsChild>
                                <w:div w:id="589388042">
                                  <w:marLeft w:val="0"/>
                                  <w:marRight w:val="0"/>
                                  <w:marTop w:val="0"/>
                                  <w:marBottom w:val="0"/>
                                  <w:divBdr>
                                    <w:top w:val="none" w:sz="0" w:space="0" w:color="auto"/>
                                    <w:left w:val="none" w:sz="0" w:space="0" w:color="auto"/>
                                    <w:bottom w:val="none" w:sz="0" w:space="0" w:color="auto"/>
                                    <w:right w:val="none" w:sz="0" w:space="0" w:color="auto"/>
                                  </w:divBdr>
                                  <w:divsChild>
                                    <w:div w:id="4727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bag.admin.ch" TargetMode="External"/><Relationship Id="rId13" Type="http://schemas.openxmlformats.org/officeDocument/2006/relationships/footer" Target="footer2.xml"/><Relationship Id="rId18" Type="http://schemas.openxmlformats.org/officeDocument/2006/relationships/hyperlink" Target="http://www.observatoire-marketing-tabac.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presseportal.ch/fr/pm/100058808/100780388" TargetMode="External"/><Relationship Id="rId2" Type="http://schemas.openxmlformats.org/officeDocument/2006/relationships/numbering" Target="numbering.xml"/><Relationship Id="rId16" Type="http://schemas.openxmlformats.org/officeDocument/2006/relationships/hyperlink" Target="https://www.parlament.ch/fr/ratsbetrieb/amtliches-bulletin/amtliches-bulletin-die-verhandlungen?SubjectId=37390%20-%20votum1" TargetMode="External"/><Relationship Id="rId20" Type="http://schemas.openxmlformats.org/officeDocument/2006/relationships/hyperlink" Target="http://www.who.int/topics/sustainable-development-goal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uchtmonitoring.ch/docs/library/kuendig_xex68llqyv9c.pdf" TargetMode="External"/><Relationship Id="rId10" Type="http://schemas.openxmlformats.org/officeDocument/2006/relationships/header" Target="header1.xml"/><Relationship Id="rId19" Type="http://schemas.openxmlformats.org/officeDocument/2006/relationships/hyperlink" Target="http://www.stoptabac.ch/fr/Additifs/corr_brochure.pdf" TargetMode="External"/><Relationship Id="rId4" Type="http://schemas.openxmlformats.org/officeDocument/2006/relationships/settings" Target="settings.xml"/><Relationship Id="rId9" Type="http://schemas.openxmlformats.org/officeDocument/2006/relationships/hyperlink" Target="mailto:tabakprodukte@bag.admin.ch" TargetMode="External"/><Relationship Id="rId14" Type="http://schemas.openxmlformats.org/officeDocument/2006/relationships/hyperlink" Target="https://www.bag.admin.ch/bag/fr/home/aktuell/medienmitteilungen.msg-id-58431.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99259-3855-4330-BE3D-88B77E9A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3568</Words>
  <Characters>19627</Characters>
  <Application>Microsoft Office Word</Application>
  <DocSecurity>0</DocSecurity>
  <Lines>163</Lines>
  <Paragraphs>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Entwurf Lebensmittelgesetz</vt:lpstr>
      <vt:lpstr>Entwurf Lebensmittelgesetz</vt:lpstr>
    </vt:vector>
  </TitlesOfParts>
  <Company>IDZ-EDI</Company>
  <LinksUpToDate>false</LinksUpToDate>
  <CharactersWithSpaces>23149</CharactersWithSpaces>
  <SharedDoc>false</SharedDoc>
  <HLinks>
    <vt:vector size="90" baseType="variant">
      <vt:variant>
        <vt:i4>3211302</vt:i4>
      </vt:variant>
      <vt:variant>
        <vt:i4>84</vt:i4>
      </vt:variant>
      <vt:variant>
        <vt:i4>0</vt:i4>
      </vt:variant>
      <vt:variant>
        <vt:i4>5</vt:i4>
      </vt:variant>
      <vt:variant>
        <vt:lpwstr>http://www.who.int/topics/sustainable-development-goals/fr/</vt:lpwstr>
      </vt:variant>
      <vt:variant>
        <vt:lpwstr/>
      </vt:variant>
      <vt:variant>
        <vt:i4>262259</vt:i4>
      </vt:variant>
      <vt:variant>
        <vt:i4>81</vt:i4>
      </vt:variant>
      <vt:variant>
        <vt:i4>0</vt:i4>
      </vt:variant>
      <vt:variant>
        <vt:i4>5</vt:i4>
      </vt:variant>
      <vt:variant>
        <vt:lpwstr>http://www.stoptabac.ch/fr/Additifs/corr_brochure.pdf</vt:lpwstr>
      </vt:variant>
      <vt:variant>
        <vt:lpwstr/>
      </vt:variant>
      <vt:variant>
        <vt:i4>7274555</vt:i4>
      </vt:variant>
      <vt:variant>
        <vt:i4>78</vt:i4>
      </vt:variant>
      <vt:variant>
        <vt:i4>0</vt:i4>
      </vt:variant>
      <vt:variant>
        <vt:i4>5</vt:i4>
      </vt:variant>
      <vt:variant>
        <vt:lpwstr>http://www.observatoire-marketing-tabac.ch/</vt:lpwstr>
      </vt:variant>
      <vt:variant>
        <vt:lpwstr/>
      </vt:variant>
      <vt:variant>
        <vt:i4>1179673</vt:i4>
      </vt:variant>
      <vt:variant>
        <vt:i4>75</vt:i4>
      </vt:variant>
      <vt:variant>
        <vt:i4>0</vt:i4>
      </vt:variant>
      <vt:variant>
        <vt:i4>5</vt:i4>
      </vt:variant>
      <vt:variant>
        <vt:lpwstr>https://www.presseportal.ch/fr/pm/100058808/100780388</vt:lpwstr>
      </vt:variant>
      <vt:variant>
        <vt:lpwstr/>
      </vt:variant>
      <vt:variant>
        <vt:i4>1376286</vt:i4>
      </vt:variant>
      <vt:variant>
        <vt:i4>72</vt:i4>
      </vt:variant>
      <vt:variant>
        <vt:i4>0</vt:i4>
      </vt:variant>
      <vt:variant>
        <vt:i4>5</vt:i4>
      </vt:variant>
      <vt:variant>
        <vt:lpwstr>https://www.parlament.ch/fr/ratsbetrieb/amtliches-bulletin/amtliches-bulletin-die-verhandlungen?SubjectId=37390%20-%20votum1</vt:lpwstr>
      </vt:variant>
      <vt:variant>
        <vt:lpwstr/>
      </vt:variant>
      <vt:variant>
        <vt:i4>3997704</vt:i4>
      </vt:variant>
      <vt:variant>
        <vt:i4>69</vt:i4>
      </vt:variant>
      <vt:variant>
        <vt:i4>0</vt:i4>
      </vt:variant>
      <vt:variant>
        <vt:i4>5</vt:i4>
      </vt:variant>
      <vt:variant>
        <vt:lpwstr>http://www.suchtmonitoring.ch/docs/library/kuendig_xex68llqyv9c.pdf</vt:lpwstr>
      </vt:variant>
      <vt:variant>
        <vt:lpwstr/>
      </vt:variant>
      <vt:variant>
        <vt:i4>4194389</vt:i4>
      </vt:variant>
      <vt:variant>
        <vt:i4>66</vt:i4>
      </vt:variant>
      <vt:variant>
        <vt:i4>0</vt:i4>
      </vt:variant>
      <vt:variant>
        <vt:i4>5</vt:i4>
      </vt:variant>
      <vt:variant>
        <vt:lpwstr>https://www.bag.admin.ch/bag/fr/home/aktuell/medienmitteilungen.msg-id-58431.html</vt:lpwstr>
      </vt:variant>
      <vt:variant>
        <vt:lpwstr/>
      </vt:variant>
      <vt:variant>
        <vt:i4>1376319</vt:i4>
      </vt:variant>
      <vt:variant>
        <vt:i4>59</vt:i4>
      </vt:variant>
      <vt:variant>
        <vt:i4>0</vt:i4>
      </vt:variant>
      <vt:variant>
        <vt:i4>5</vt:i4>
      </vt:variant>
      <vt:variant>
        <vt:lpwstr/>
      </vt:variant>
      <vt:variant>
        <vt:lpwstr>_Toc388409474</vt:lpwstr>
      </vt:variant>
      <vt:variant>
        <vt:i4>1376319</vt:i4>
      </vt:variant>
      <vt:variant>
        <vt:i4>53</vt:i4>
      </vt:variant>
      <vt:variant>
        <vt:i4>0</vt:i4>
      </vt:variant>
      <vt:variant>
        <vt:i4>5</vt:i4>
      </vt:variant>
      <vt:variant>
        <vt:lpwstr/>
      </vt:variant>
      <vt:variant>
        <vt:lpwstr>_Toc388409473</vt:lpwstr>
      </vt:variant>
      <vt:variant>
        <vt:i4>1376319</vt:i4>
      </vt:variant>
      <vt:variant>
        <vt:i4>47</vt:i4>
      </vt:variant>
      <vt:variant>
        <vt:i4>0</vt:i4>
      </vt:variant>
      <vt:variant>
        <vt:i4>5</vt:i4>
      </vt:variant>
      <vt:variant>
        <vt:lpwstr/>
      </vt:variant>
      <vt:variant>
        <vt:lpwstr>_Toc388409472</vt:lpwstr>
      </vt:variant>
      <vt:variant>
        <vt:i4>1376319</vt:i4>
      </vt:variant>
      <vt:variant>
        <vt:i4>41</vt:i4>
      </vt:variant>
      <vt:variant>
        <vt:i4>0</vt:i4>
      </vt:variant>
      <vt:variant>
        <vt:i4>5</vt:i4>
      </vt:variant>
      <vt:variant>
        <vt:lpwstr/>
      </vt:variant>
      <vt:variant>
        <vt:lpwstr>_Toc388409471</vt:lpwstr>
      </vt:variant>
      <vt:variant>
        <vt:i4>1376319</vt:i4>
      </vt:variant>
      <vt:variant>
        <vt:i4>35</vt:i4>
      </vt:variant>
      <vt:variant>
        <vt:i4>0</vt:i4>
      </vt:variant>
      <vt:variant>
        <vt:i4>5</vt:i4>
      </vt:variant>
      <vt:variant>
        <vt:lpwstr/>
      </vt:variant>
      <vt:variant>
        <vt:lpwstr>_Toc388409470</vt:lpwstr>
      </vt:variant>
      <vt:variant>
        <vt:i4>1310783</vt:i4>
      </vt:variant>
      <vt:variant>
        <vt:i4>29</vt:i4>
      </vt:variant>
      <vt:variant>
        <vt:i4>0</vt:i4>
      </vt:variant>
      <vt:variant>
        <vt:i4>5</vt:i4>
      </vt:variant>
      <vt:variant>
        <vt:lpwstr/>
      </vt:variant>
      <vt:variant>
        <vt:lpwstr>_Toc388409469</vt:lpwstr>
      </vt:variant>
      <vt:variant>
        <vt:i4>196728</vt:i4>
      </vt:variant>
      <vt:variant>
        <vt:i4>24</vt:i4>
      </vt:variant>
      <vt:variant>
        <vt:i4>0</vt:i4>
      </vt:variant>
      <vt:variant>
        <vt:i4>5</vt:i4>
      </vt:variant>
      <vt:variant>
        <vt:lpwstr>mailto:tabakprodukte@bag.admin.ch</vt:lpwstr>
      </vt:variant>
      <vt:variant>
        <vt:lpwstr/>
      </vt:variant>
      <vt:variant>
        <vt:i4>4325411</vt:i4>
      </vt:variant>
      <vt:variant>
        <vt:i4>21</vt:i4>
      </vt:variant>
      <vt:variant>
        <vt:i4>0</vt:i4>
      </vt:variant>
      <vt:variant>
        <vt:i4>5</vt:i4>
      </vt:variant>
      <vt:variant>
        <vt:lpwstr>mailto:dm@bag.admin.ch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Lebensmittelgesetz</dc:title>
  <dc:subject/>
  <dc:creator>Mark Stauber</dc:creator>
  <cp:keywords/>
  <cp:lastModifiedBy>MENGISEN Dominique</cp:lastModifiedBy>
  <cp:revision>2</cp:revision>
  <cp:lastPrinted>2017-11-03T14:28:00Z</cp:lastPrinted>
  <dcterms:created xsi:type="dcterms:W3CDTF">2018-02-26T13:11:00Z</dcterms:created>
  <dcterms:modified xsi:type="dcterms:W3CDTF">2018-02-26T13:11:00Z</dcterms:modified>
</cp:coreProperties>
</file>